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AF7C">
      <w:pPr>
        <w:pStyle w:val="2"/>
        <w:keepLines w:val="0"/>
        <w:spacing w:before="0" w:after="0" w:line="360" w:lineRule="auto"/>
        <w:ind w:right="-441" w:rightChars="-210"/>
        <w:jc w:val="center"/>
        <w:rPr>
          <w:rFonts w:hint="eastAsia" w:ascii="宋体" w:hAnsi="宋体" w:eastAsia="宋体" w:cs="宋体"/>
          <w:kern w:val="2"/>
          <w:sz w:val="32"/>
          <w:szCs w:val="32"/>
        </w:rPr>
      </w:pPr>
      <w:r>
        <w:rPr>
          <w:rFonts w:hint="eastAsia" w:ascii="宋体" w:hAnsi="宋体" w:eastAsia="宋体" w:cs="宋体"/>
          <w:kern w:val="2"/>
          <w:sz w:val="32"/>
          <w:szCs w:val="32"/>
        </w:rPr>
        <w:t>采购人需求</w:t>
      </w:r>
    </w:p>
    <w:p w14:paraId="6216E9AF">
      <w:pPr>
        <w:pStyle w:val="8"/>
        <w:numPr>
          <w:ilvl w:val="0"/>
          <w:numId w:val="0"/>
        </w:numPr>
        <w:tabs>
          <w:tab w:val="left" w:pos="0"/>
        </w:tabs>
        <w:autoSpaceDE w:val="0"/>
        <w:autoSpaceDN w:val="0"/>
        <w:adjustRightInd w:val="0"/>
        <w:snapToGrid w:val="0"/>
        <w:spacing w:line="360" w:lineRule="auto"/>
        <w:ind w:left="720" w:leftChars="0" w:hanging="720" w:firstLineChars="0"/>
        <w:jc w:val="left"/>
        <w:outlineLvl w:val="1"/>
        <w:rPr>
          <w:rFonts w:ascii="宋体" w:hAnsi="宋体" w:eastAsia="宋体" w:cs="宋体"/>
          <w:b/>
          <w:bCs/>
          <w:kern w:val="0"/>
          <w:sz w:val="24"/>
          <w:szCs w:val="24"/>
        </w:rPr>
      </w:pPr>
      <w:r>
        <w:rPr>
          <w:rFonts w:hint="default" w:ascii="宋体" w:hAnsi="宋体" w:eastAsia="宋体" w:cs="宋体"/>
          <w:b/>
          <w:bCs/>
          <w:kern w:val="0"/>
          <w:sz w:val="24"/>
          <w:szCs w:val="24"/>
          <w:lang w:val="en-US" w:eastAsia="zh-CN" w:bidi="ar-SA"/>
        </w:rPr>
        <w:t>一、</w:t>
      </w:r>
      <w:r>
        <w:rPr>
          <w:rFonts w:hint="eastAsia" w:ascii="宋体" w:hAnsi="宋体" w:eastAsia="宋体" w:cs="宋体"/>
          <w:b/>
          <w:bCs/>
          <w:kern w:val="0"/>
          <w:sz w:val="24"/>
          <w:szCs w:val="24"/>
        </w:rPr>
        <w:t>有关说明</w:t>
      </w:r>
    </w:p>
    <w:p w14:paraId="6D4F49E4">
      <w:pPr>
        <w:numPr>
          <w:ilvl w:val="0"/>
          <w:numId w:val="0"/>
        </w:numPr>
        <w:autoSpaceDE w:val="0"/>
        <w:autoSpaceDN w:val="0"/>
        <w:adjustRightInd w:val="0"/>
        <w:snapToGrid w:val="0"/>
        <w:spacing w:line="360" w:lineRule="auto"/>
        <w:ind w:left="0" w:leftChars="0" w:firstLine="420" w:firstLineChars="175"/>
        <w:jc w:val="left"/>
        <w:textAlignment w:val="baseline"/>
        <w:rPr>
          <w:rFonts w:ascii="宋体" w:hAnsi="宋体" w:eastAsia="宋体" w:cs="宋体"/>
          <w:bCs/>
          <w:kern w:val="0"/>
          <w:sz w:val="24"/>
          <w:szCs w:val="24"/>
        </w:rPr>
      </w:pPr>
      <w:r>
        <w:rPr>
          <w:rFonts w:ascii="宋体" w:hAnsi="宋体" w:eastAsia="宋体" w:cs="宋体"/>
          <w:bCs/>
          <w:color w:val="auto"/>
          <w:kern w:val="0"/>
          <w:sz w:val="24"/>
          <w:szCs w:val="24"/>
          <w:lang w:val="en-US" w:eastAsia="zh-CN" w:bidi="ar-SA"/>
        </w:rPr>
        <w:t>(一)</w:t>
      </w:r>
      <w:r>
        <w:rPr>
          <w:rFonts w:hint="eastAsia" w:ascii="宋体" w:hAnsi="宋体" w:eastAsia="宋体" w:cs="宋体"/>
          <w:bCs/>
          <w:kern w:val="0"/>
          <w:sz w:val="24"/>
          <w:szCs w:val="24"/>
        </w:rPr>
        <w:t>投标人须对本项目的采购标的进行整体投标，任何只对本项目采购标的其中一部分内容、数量进行的投标都应予否决投标。</w:t>
      </w:r>
    </w:p>
    <w:p w14:paraId="7598A940">
      <w:pPr>
        <w:numPr>
          <w:ilvl w:val="0"/>
          <w:numId w:val="0"/>
        </w:numPr>
        <w:autoSpaceDE w:val="0"/>
        <w:autoSpaceDN w:val="0"/>
        <w:adjustRightInd w:val="0"/>
        <w:snapToGrid w:val="0"/>
        <w:spacing w:line="360" w:lineRule="auto"/>
        <w:ind w:left="0" w:leftChars="0" w:firstLine="420" w:firstLineChars="175"/>
        <w:jc w:val="left"/>
        <w:textAlignment w:val="baseline"/>
        <w:rPr>
          <w:rFonts w:ascii="宋体" w:hAnsi="宋体" w:eastAsia="宋体" w:cs="宋体"/>
          <w:bCs/>
          <w:kern w:val="0"/>
          <w:sz w:val="24"/>
          <w:szCs w:val="24"/>
        </w:rPr>
      </w:pPr>
      <w:r>
        <w:rPr>
          <w:rFonts w:ascii="宋体" w:hAnsi="宋体" w:eastAsia="宋体" w:cs="宋体"/>
          <w:bCs/>
          <w:color w:val="auto"/>
          <w:kern w:val="0"/>
          <w:sz w:val="24"/>
          <w:szCs w:val="24"/>
          <w:lang w:val="en-US" w:eastAsia="zh-CN" w:bidi="ar-SA"/>
        </w:rPr>
        <w:t>(二)</w:t>
      </w:r>
      <w:r>
        <w:rPr>
          <w:rFonts w:hint="eastAsia" w:ascii="宋体" w:hAnsi="宋体" w:eastAsia="宋体" w:cs="宋体"/>
          <w:bCs/>
          <w:kern w:val="0"/>
          <w:sz w:val="24"/>
          <w:szCs w:val="24"/>
        </w:rPr>
        <w:t>采购需求中标注“★”号条款为实质性条款，必须逐条进行响应，有任何一条负偏离的，应予否决投标。</w:t>
      </w:r>
    </w:p>
    <w:p w14:paraId="36E85A4D">
      <w:pPr>
        <w:numPr>
          <w:ilvl w:val="0"/>
          <w:numId w:val="0"/>
        </w:numPr>
        <w:autoSpaceDE w:val="0"/>
        <w:autoSpaceDN w:val="0"/>
        <w:adjustRightInd w:val="0"/>
        <w:snapToGrid w:val="0"/>
        <w:spacing w:line="360" w:lineRule="auto"/>
        <w:ind w:left="0" w:leftChars="0" w:firstLine="420" w:firstLineChars="175"/>
        <w:jc w:val="left"/>
        <w:textAlignment w:val="baseline"/>
        <w:rPr>
          <w:rFonts w:ascii="宋体" w:hAnsi="宋体" w:eastAsia="宋体" w:cs="宋体"/>
          <w:bCs/>
          <w:kern w:val="0"/>
          <w:sz w:val="24"/>
          <w:szCs w:val="24"/>
        </w:rPr>
      </w:pPr>
      <w:r>
        <w:rPr>
          <w:rFonts w:ascii="宋体" w:hAnsi="宋体" w:eastAsia="宋体" w:cs="宋体"/>
          <w:bCs/>
          <w:color w:val="auto"/>
          <w:kern w:val="0"/>
          <w:sz w:val="24"/>
          <w:szCs w:val="24"/>
          <w:lang w:val="en-US" w:eastAsia="zh-CN" w:bidi="ar-SA"/>
        </w:rPr>
        <w:t>(三)</w:t>
      </w:r>
      <w:r>
        <w:rPr>
          <w:rFonts w:hint="eastAsia" w:ascii="宋体" w:hAnsi="宋体" w:eastAsia="宋体" w:cs="宋体"/>
          <w:bCs/>
          <w:kern w:val="0"/>
          <w:sz w:val="24"/>
          <w:szCs w:val="24"/>
        </w:rPr>
        <w:t>采购需求中标注“▲”号条款为重要技术参数，或部</w:t>
      </w:r>
      <w:bookmarkStart w:id="1" w:name="_GoBack"/>
      <w:bookmarkEnd w:id="1"/>
      <w:r>
        <w:rPr>
          <w:rFonts w:hint="eastAsia" w:ascii="宋体" w:hAnsi="宋体" w:eastAsia="宋体" w:cs="宋体"/>
          <w:bCs/>
          <w:kern w:val="0"/>
          <w:sz w:val="24"/>
          <w:szCs w:val="24"/>
        </w:rPr>
        <w:t>分“▲”条款未响应或不满足，将导致其响应性评审加重扣分，不作为否决投标条款。</w:t>
      </w:r>
    </w:p>
    <w:p w14:paraId="29B6103F">
      <w:pPr>
        <w:pStyle w:val="8"/>
        <w:numPr>
          <w:ilvl w:val="0"/>
          <w:numId w:val="0"/>
        </w:numPr>
        <w:tabs>
          <w:tab w:val="left" w:pos="540"/>
        </w:tabs>
        <w:autoSpaceDE w:val="0"/>
        <w:autoSpaceDN w:val="0"/>
        <w:adjustRightInd w:val="0"/>
        <w:snapToGrid w:val="0"/>
        <w:spacing w:line="360" w:lineRule="auto"/>
        <w:ind w:left="720" w:leftChars="0" w:hanging="720" w:firstLineChars="0"/>
        <w:jc w:val="left"/>
        <w:outlineLvl w:val="1"/>
        <w:rPr>
          <w:rFonts w:ascii="宋体" w:hAnsi="宋体" w:eastAsia="宋体" w:cs="宋体"/>
          <w:b/>
          <w:bCs/>
          <w:kern w:val="0"/>
          <w:sz w:val="24"/>
          <w:szCs w:val="24"/>
        </w:rPr>
      </w:pPr>
      <w:r>
        <w:rPr>
          <w:rFonts w:hint="default" w:ascii="宋体" w:hAnsi="宋体" w:eastAsia="宋体" w:cs="宋体"/>
          <w:b/>
          <w:bCs/>
          <w:kern w:val="0"/>
          <w:sz w:val="24"/>
          <w:szCs w:val="24"/>
          <w:lang w:val="en-US" w:eastAsia="zh-CN" w:bidi="ar-SA"/>
        </w:rPr>
        <w:t>二、</w:t>
      </w:r>
      <w:r>
        <w:rPr>
          <w:rFonts w:hint="eastAsia" w:ascii="宋体" w:hAnsi="宋体" w:eastAsia="宋体" w:cs="宋体"/>
          <w:b/>
          <w:bCs/>
          <w:kern w:val="0"/>
          <w:sz w:val="24"/>
          <w:szCs w:val="24"/>
        </w:rPr>
        <w:t>项目一览表</w:t>
      </w:r>
    </w:p>
    <w:tbl>
      <w:tblPr>
        <w:tblStyle w:val="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487"/>
        <w:gridCol w:w="1262"/>
        <w:gridCol w:w="2071"/>
      </w:tblGrid>
      <w:tr w14:paraId="44B5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581" w:type="pct"/>
            <w:shd w:val="clear" w:color="auto" w:fill="EEECE1"/>
            <w:noWrap w:val="0"/>
            <w:vAlign w:val="center"/>
          </w:tcPr>
          <w:p w14:paraId="667DBB03">
            <w:pPr>
              <w:autoSpaceDE w:val="0"/>
              <w:autoSpaceDN w:val="0"/>
              <w:adjustRightInd w:val="0"/>
              <w:jc w:val="center"/>
              <w:rPr>
                <w:rFonts w:ascii="宋体" w:hAnsi="宋体" w:eastAsia="宋体" w:cs="Times New Roman"/>
                <w:b/>
                <w:kern w:val="0"/>
                <w:sz w:val="24"/>
                <w:szCs w:val="24"/>
              </w:rPr>
            </w:pPr>
            <w:r>
              <w:rPr>
                <w:rFonts w:hint="eastAsia" w:ascii="宋体" w:hAnsi="宋体" w:eastAsia="宋体" w:cs="Times New Roman"/>
                <w:b/>
                <w:kern w:val="0"/>
                <w:sz w:val="24"/>
                <w:szCs w:val="24"/>
              </w:rPr>
              <w:t>采购内容</w:t>
            </w:r>
          </w:p>
        </w:tc>
        <w:tc>
          <w:tcPr>
            <w:tcW w:w="1460" w:type="pct"/>
            <w:shd w:val="clear" w:color="auto" w:fill="EEECE1"/>
            <w:noWrap w:val="0"/>
            <w:vAlign w:val="center"/>
          </w:tcPr>
          <w:p w14:paraId="10352352">
            <w:pPr>
              <w:widowControl/>
              <w:autoSpaceDE w:val="0"/>
              <w:autoSpaceDN w:val="0"/>
              <w:adjustRightInd w:val="0"/>
              <w:jc w:val="center"/>
              <w:rPr>
                <w:rFonts w:ascii="宋体" w:hAnsi="宋体" w:eastAsia="宋体" w:cs="宋体"/>
                <w:b/>
                <w:bCs/>
                <w:kern w:val="0"/>
                <w:sz w:val="24"/>
                <w:szCs w:val="24"/>
              </w:rPr>
            </w:pPr>
            <w:bookmarkStart w:id="0" w:name="_Hlk93918135"/>
            <w:r>
              <w:rPr>
                <w:rFonts w:hint="eastAsia" w:ascii="宋体" w:hAnsi="宋体" w:eastAsia="宋体" w:cs="宋体"/>
                <w:b/>
                <w:bCs/>
                <w:kern w:val="0"/>
                <w:sz w:val="24"/>
                <w:szCs w:val="24"/>
              </w:rPr>
              <w:t>总预算</w:t>
            </w:r>
          </w:p>
          <w:p w14:paraId="3E3B8BC9">
            <w:pPr>
              <w:widowControl/>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（含增值税）</w:t>
            </w:r>
          </w:p>
          <w:bookmarkEnd w:id="0"/>
        </w:tc>
        <w:tc>
          <w:tcPr>
            <w:tcW w:w="741" w:type="pct"/>
            <w:shd w:val="clear" w:color="auto" w:fill="EEECE1"/>
            <w:noWrap w:val="0"/>
            <w:vAlign w:val="center"/>
          </w:tcPr>
          <w:p w14:paraId="026833E5">
            <w:pPr>
              <w:autoSpaceDE w:val="0"/>
              <w:autoSpaceDN w:val="0"/>
              <w:adjustRightInd w:val="0"/>
              <w:jc w:val="center"/>
              <w:rPr>
                <w:rFonts w:ascii="宋体" w:hAnsi="宋体" w:eastAsia="宋体" w:cs="Times New Roman"/>
                <w:b/>
                <w:kern w:val="0"/>
                <w:sz w:val="24"/>
                <w:szCs w:val="24"/>
              </w:rPr>
            </w:pPr>
            <w:r>
              <w:rPr>
                <w:rFonts w:hint="eastAsia" w:ascii="宋体" w:hAnsi="宋体" w:eastAsia="宋体" w:cs="Times New Roman"/>
                <w:b/>
                <w:kern w:val="0"/>
                <w:sz w:val="24"/>
                <w:szCs w:val="24"/>
              </w:rPr>
              <w:t>中标人数量</w:t>
            </w:r>
          </w:p>
        </w:tc>
        <w:tc>
          <w:tcPr>
            <w:tcW w:w="1215" w:type="pct"/>
            <w:shd w:val="clear" w:color="auto" w:fill="EEECE1"/>
            <w:noWrap w:val="0"/>
            <w:vAlign w:val="center"/>
          </w:tcPr>
          <w:p w14:paraId="2C444DA1">
            <w:pPr>
              <w:autoSpaceDE w:val="0"/>
              <w:autoSpaceDN w:val="0"/>
              <w:adjustRightInd w:val="0"/>
              <w:jc w:val="center"/>
              <w:rPr>
                <w:rFonts w:ascii="宋体" w:hAnsi="宋体" w:eastAsia="宋体" w:cs="Times New Roman"/>
                <w:b/>
                <w:kern w:val="0"/>
                <w:sz w:val="24"/>
                <w:szCs w:val="24"/>
              </w:rPr>
            </w:pPr>
            <w:r>
              <w:rPr>
                <w:rFonts w:hint="eastAsia" w:ascii="宋体" w:hAnsi="宋体" w:eastAsia="宋体" w:cs="Times New Roman"/>
                <w:b/>
                <w:kern w:val="0"/>
                <w:sz w:val="24"/>
                <w:szCs w:val="24"/>
              </w:rPr>
              <w:t>服务期</w:t>
            </w:r>
          </w:p>
        </w:tc>
      </w:tr>
      <w:tr w14:paraId="7E25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581" w:type="pct"/>
            <w:noWrap w:val="0"/>
            <w:vAlign w:val="center"/>
          </w:tcPr>
          <w:p w14:paraId="1EDF24BD">
            <w:pPr>
              <w:autoSpaceDE w:val="0"/>
              <w:autoSpaceDN w:val="0"/>
              <w:adjustRightInd w:val="0"/>
              <w:spacing w:line="36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广州打捞局机关食堂食材采购服务供应商</w:t>
            </w:r>
          </w:p>
        </w:tc>
        <w:tc>
          <w:tcPr>
            <w:tcW w:w="1460" w:type="pct"/>
            <w:noWrap w:val="0"/>
            <w:vAlign w:val="center"/>
          </w:tcPr>
          <w:p w14:paraId="06F3DF5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lang w:eastAsia="zh-CN"/>
              </w:rPr>
              <w:t>11,860,000.00</w:t>
            </w:r>
            <w:r>
              <w:rPr>
                <w:rFonts w:hint="eastAsia" w:ascii="宋体" w:hAnsi="宋体" w:eastAsia="宋体" w:cs="Times New Roman"/>
                <w:kern w:val="0"/>
                <w:sz w:val="24"/>
                <w:szCs w:val="24"/>
              </w:rPr>
              <w:t>元/三年</w:t>
            </w:r>
          </w:p>
        </w:tc>
        <w:tc>
          <w:tcPr>
            <w:tcW w:w="741" w:type="pct"/>
            <w:noWrap w:val="0"/>
            <w:vAlign w:val="center"/>
          </w:tcPr>
          <w:p w14:paraId="21BBEE22">
            <w:pPr>
              <w:autoSpaceDE w:val="0"/>
              <w:autoSpaceDN w:val="0"/>
              <w:adjustRightInd w:val="0"/>
              <w:spacing w:line="360" w:lineRule="auto"/>
              <w:jc w:val="center"/>
              <w:rPr>
                <w:rFonts w:hint="default" w:ascii="宋体" w:hAnsi="宋体" w:eastAsia="宋体" w:cs="Times New Roman"/>
                <w:bCs/>
                <w:kern w:val="0"/>
                <w:sz w:val="24"/>
                <w:szCs w:val="24"/>
                <w:lang w:val="en-US" w:eastAsia="zh-CN"/>
              </w:rPr>
            </w:pPr>
            <w:r>
              <w:rPr>
                <w:rFonts w:hint="eastAsia" w:ascii="宋体" w:hAnsi="宋体" w:eastAsia="宋体" w:cs="Times New Roman"/>
                <w:kern w:val="0"/>
                <w:sz w:val="24"/>
                <w:szCs w:val="24"/>
                <w:lang w:val="en-US" w:eastAsia="zh-CN"/>
              </w:rPr>
              <w:t>1家</w:t>
            </w:r>
          </w:p>
        </w:tc>
        <w:tc>
          <w:tcPr>
            <w:tcW w:w="1215" w:type="pct"/>
            <w:noWrap w:val="0"/>
            <w:vAlign w:val="center"/>
          </w:tcPr>
          <w:p w14:paraId="0D092908">
            <w:pPr>
              <w:keepNext/>
              <w:autoSpaceDE w:val="0"/>
              <w:autoSpaceDN w:val="0"/>
              <w:adjustRightInd w:val="0"/>
              <w:spacing w:before="60" w:after="60" w:line="360" w:lineRule="auto"/>
              <w:jc w:val="center"/>
              <w:textAlignment w:val="center"/>
              <w:rPr>
                <w:rFonts w:ascii="宋体" w:hAnsi="宋体" w:eastAsia="宋体" w:cs="Cambria"/>
                <w:sz w:val="24"/>
                <w:szCs w:val="24"/>
              </w:rPr>
            </w:pPr>
            <w:r>
              <w:rPr>
                <w:rFonts w:hint="eastAsia" w:ascii="宋体" w:hAnsi="宋体" w:eastAsia="宋体" w:cs="Cambria"/>
                <w:sz w:val="24"/>
                <w:szCs w:val="24"/>
              </w:rPr>
              <w:t>自合同签订之日起三年</w:t>
            </w:r>
          </w:p>
        </w:tc>
      </w:tr>
    </w:tbl>
    <w:p w14:paraId="775706BF">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bCs/>
          <w:kern w:val="0"/>
          <w:sz w:val="24"/>
          <w:szCs w:val="24"/>
        </w:rPr>
      </w:pPr>
      <w:r>
        <w:rPr>
          <w:rFonts w:hint="default" w:ascii="宋体" w:hAnsi="宋体" w:eastAsia="宋体" w:cs="宋体"/>
          <w:b/>
          <w:bCs/>
          <w:kern w:val="0"/>
          <w:sz w:val="24"/>
          <w:szCs w:val="24"/>
          <w:lang w:val="en-US" w:eastAsia="zh-CN" w:bidi="ar-SA"/>
        </w:rPr>
        <w:t>三、</w:t>
      </w:r>
      <w:r>
        <w:rPr>
          <w:rFonts w:hint="eastAsia" w:ascii="宋体" w:hAnsi="宋体" w:eastAsia="宋体" w:cs="宋体"/>
          <w:b/>
          <w:bCs/>
          <w:kern w:val="0"/>
          <w:sz w:val="24"/>
          <w:szCs w:val="24"/>
        </w:rPr>
        <w:t>项目概况</w:t>
      </w:r>
    </w:p>
    <w:p w14:paraId="516A00CE">
      <w:pPr>
        <w:autoSpaceDE w:val="0"/>
        <w:autoSpaceDN w:val="0"/>
        <w:adjustRightInd w:val="0"/>
        <w:snapToGrid w:val="0"/>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1.供应范围：食堂食品（不限于油米、肉类、蛋类、蔬果、奶制品等）；</w:t>
      </w:r>
    </w:p>
    <w:p w14:paraId="1A63B0B9">
      <w:pPr>
        <w:autoSpaceDE w:val="0"/>
        <w:autoSpaceDN w:val="0"/>
        <w:adjustRightInd w:val="0"/>
        <w:snapToGrid w:val="0"/>
        <w:spacing w:line="360" w:lineRule="auto"/>
        <w:ind w:firstLine="480" w:firstLineChars="200"/>
        <w:jc w:val="left"/>
        <w:rPr>
          <w:rFonts w:ascii="Times New Roman" w:hAnsi="Times New Roman" w:eastAsia="宋体" w:cs="Times New Roman"/>
          <w:color w:val="auto"/>
          <w:kern w:val="0"/>
          <w:sz w:val="20"/>
          <w:szCs w:val="20"/>
        </w:rPr>
      </w:pPr>
      <w:r>
        <w:rPr>
          <w:rFonts w:hint="eastAsia" w:ascii="宋体" w:hAnsi="宋体" w:eastAsia="宋体" w:cs="Times New Roman"/>
          <w:color w:val="auto"/>
          <w:kern w:val="0"/>
          <w:sz w:val="24"/>
          <w:szCs w:val="24"/>
        </w:rPr>
        <w:t>2.服务期：</w:t>
      </w:r>
      <w:r>
        <w:rPr>
          <w:rFonts w:hint="eastAsia" w:ascii="宋体" w:hAnsi="宋体" w:eastAsia="宋体" w:cs="Times New Roman"/>
          <w:color w:val="auto"/>
          <w:sz w:val="24"/>
          <w:szCs w:val="24"/>
        </w:rPr>
        <w:t>自合同签订之日起3年</w:t>
      </w:r>
      <w:r>
        <w:rPr>
          <w:rFonts w:hint="eastAsia" w:ascii="宋体" w:hAnsi="宋体" w:eastAsia="宋体" w:cs="Times New Roman"/>
          <w:color w:val="auto"/>
          <w:kern w:val="0"/>
          <w:sz w:val="24"/>
          <w:szCs w:val="24"/>
        </w:rPr>
        <w:t>，具体期限以签署合同时的规定为准。服务合同一年一签，</w:t>
      </w:r>
      <w:r>
        <w:rPr>
          <w:rFonts w:hint="eastAsia" w:ascii="宋体" w:hAnsi="宋体" w:eastAsia="宋体" w:cs="Times New Roman"/>
          <w:color w:val="auto"/>
          <w:kern w:val="0"/>
          <w:sz w:val="24"/>
          <w:szCs w:val="24"/>
          <w:lang w:eastAsia="zh-CN"/>
        </w:rPr>
        <w:t>采购人</w:t>
      </w:r>
      <w:r>
        <w:rPr>
          <w:rFonts w:hint="eastAsia" w:ascii="宋体" w:hAnsi="宋体" w:eastAsia="宋体" w:cs="Times New Roman"/>
          <w:color w:val="auto"/>
          <w:kern w:val="0"/>
          <w:sz w:val="24"/>
          <w:szCs w:val="24"/>
        </w:rPr>
        <w:t>定期对中标人进行考核，考核合格后，方可续签下一期服务合同。</w:t>
      </w:r>
      <w:r>
        <w:rPr>
          <w:rFonts w:hint="eastAsia" w:ascii="宋体" w:hAnsi="宋体" w:eastAsia="宋体" w:cs="Times New Roman"/>
          <w:color w:val="auto"/>
          <w:kern w:val="0"/>
          <w:sz w:val="24"/>
          <w:szCs w:val="24"/>
          <w:lang w:val="en-GB" w:eastAsia="zh-CN"/>
        </w:rPr>
        <w:t>采购人</w:t>
      </w:r>
      <w:r>
        <w:rPr>
          <w:rFonts w:hint="eastAsia" w:ascii="宋体" w:hAnsi="宋体" w:eastAsia="宋体" w:cs="Times New Roman"/>
          <w:color w:val="auto"/>
          <w:kern w:val="0"/>
          <w:sz w:val="24"/>
          <w:szCs w:val="24"/>
          <w:lang w:val="en-GB"/>
        </w:rPr>
        <w:t>不承诺在合作有效期内授予中标人具体采购数量</w:t>
      </w:r>
      <w:r>
        <w:rPr>
          <w:rFonts w:hint="eastAsia" w:ascii="宋体" w:hAnsi="宋体" w:eastAsia="宋体" w:cs="Times New Roman"/>
          <w:color w:val="auto"/>
          <w:kern w:val="0"/>
          <w:sz w:val="24"/>
          <w:szCs w:val="24"/>
        </w:rPr>
        <w:t>。具体采购内容，按实际下单需求为准</w:t>
      </w:r>
      <w:r>
        <w:rPr>
          <w:rFonts w:hint="eastAsia" w:ascii="宋体" w:hAnsi="宋体" w:eastAsia="宋体" w:cs="Times New Roman"/>
          <w:color w:val="auto"/>
          <w:kern w:val="0"/>
          <w:sz w:val="24"/>
          <w:szCs w:val="24"/>
          <w:lang w:val="en-GB"/>
        </w:rPr>
        <w:t>。</w:t>
      </w:r>
    </w:p>
    <w:p w14:paraId="026BC349">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bCs/>
          <w:kern w:val="0"/>
          <w:sz w:val="24"/>
          <w:szCs w:val="24"/>
        </w:rPr>
      </w:pPr>
      <w:r>
        <w:rPr>
          <w:rFonts w:hint="default" w:ascii="宋体" w:hAnsi="宋体" w:eastAsia="宋体" w:cs="宋体"/>
          <w:b/>
          <w:bCs/>
          <w:kern w:val="0"/>
          <w:sz w:val="24"/>
          <w:szCs w:val="24"/>
          <w:lang w:val="en-US" w:eastAsia="zh-CN" w:bidi="ar-SA"/>
        </w:rPr>
        <w:t>四、</w:t>
      </w:r>
      <w:r>
        <w:rPr>
          <w:rFonts w:hint="eastAsia" w:ascii="宋体" w:hAnsi="宋体" w:eastAsia="宋体" w:cs="宋体"/>
          <w:b/>
          <w:bCs/>
          <w:kern w:val="0"/>
          <w:sz w:val="24"/>
          <w:szCs w:val="24"/>
        </w:rPr>
        <w:t>项目要求</w:t>
      </w:r>
    </w:p>
    <w:p w14:paraId="5AF4FDCB">
      <w:pPr>
        <w:widowControl/>
        <w:numPr>
          <w:ilvl w:val="0"/>
          <w:numId w:val="0"/>
        </w:numPr>
        <w:tabs>
          <w:tab w:val="left" w:pos="284"/>
        </w:tabs>
        <w:autoSpaceDE w:val="0"/>
        <w:autoSpaceDN w:val="0"/>
        <w:adjustRightInd w:val="0"/>
        <w:snapToGrid w:val="0"/>
        <w:ind w:left="0" w:leftChars="0" w:firstLine="420" w:firstLineChars="0"/>
        <w:jc w:val="left"/>
        <w:outlineLvl w:val="2"/>
        <w:rPr>
          <w:rFonts w:ascii="宋体" w:hAnsi="宋体" w:eastAsia="宋体" w:cs="宋体"/>
          <w:b/>
          <w:bCs/>
          <w:kern w:val="0"/>
          <w:sz w:val="24"/>
          <w:szCs w:val="24"/>
        </w:rPr>
      </w:pP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rPr>
        <w:t>食材用量需求</w:t>
      </w:r>
    </w:p>
    <w:p w14:paraId="29F0329A">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食堂开放时间：工作日早餐、午餐提供用餐。</w:t>
      </w:r>
    </w:p>
    <w:p w14:paraId="3A20C894">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员工用餐人数：约</w:t>
      </w:r>
      <w:r>
        <w:rPr>
          <w:rFonts w:hint="eastAsia" w:ascii="宋体" w:hAnsi="宋体" w:eastAsia="宋体" w:cs="宋体"/>
          <w:sz w:val="24"/>
          <w:szCs w:val="24"/>
          <w:lang w:val="en-US" w:eastAsia="zh-CN"/>
        </w:rPr>
        <w:t>50</w:t>
      </w:r>
      <w:r>
        <w:rPr>
          <w:rFonts w:hint="eastAsia" w:ascii="宋体" w:hAnsi="宋体" w:eastAsia="宋体" w:cs="宋体"/>
          <w:sz w:val="24"/>
          <w:szCs w:val="24"/>
        </w:rPr>
        <w:t>0-</w:t>
      </w:r>
      <w:r>
        <w:rPr>
          <w:rFonts w:hint="eastAsia" w:ascii="宋体" w:hAnsi="宋体" w:eastAsia="宋体" w:cs="宋体"/>
          <w:sz w:val="24"/>
          <w:szCs w:val="24"/>
          <w:lang w:val="en-US" w:eastAsia="zh-CN"/>
        </w:rPr>
        <w:t>60</w:t>
      </w:r>
      <w:r>
        <w:rPr>
          <w:rFonts w:hint="eastAsia" w:ascii="宋体" w:hAnsi="宋体" w:eastAsia="宋体" w:cs="宋体"/>
          <w:sz w:val="24"/>
          <w:szCs w:val="24"/>
        </w:rPr>
        <w:t>0人。</w:t>
      </w:r>
    </w:p>
    <w:p w14:paraId="75C5BBBC">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接待用餐情况：根据实际情况安排。</w:t>
      </w:r>
    </w:p>
    <w:p w14:paraId="643C7AB9">
      <w:pPr>
        <w:widowControl/>
        <w:numPr>
          <w:ilvl w:val="0"/>
          <w:numId w:val="0"/>
        </w:numPr>
        <w:tabs>
          <w:tab w:val="left" w:pos="284"/>
        </w:tabs>
        <w:autoSpaceDE w:val="0"/>
        <w:autoSpaceDN w:val="0"/>
        <w:adjustRightInd w:val="0"/>
        <w:snapToGrid w:val="0"/>
        <w:ind w:left="0" w:leftChars="0" w:firstLine="420" w:firstLineChars="0"/>
        <w:jc w:val="left"/>
        <w:outlineLvl w:val="2"/>
        <w:rPr>
          <w:rFonts w:ascii="宋体" w:hAnsi="宋体" w:eastAsia="宋体" w:cs="宋体"/>
          <w:b/>
          <w:bCs/>
          <w:kern w:val="0"/>
          <w:sz w:val="24"/>
          <w:szCs w:val="24"/>
        </w:rPr>
      </w:pPr>
      <w:r>
        <w:rPr>
          <w:rFonts w:hint="eastAsia" w:ascii="宋体" w:hAnsi="宋体" w:eastAsia="宋体" w:cs="宋体"/>
          <w:b/>
          <w:bCs/>
          <w:kern w:val="0"/>
          <w:sz w:val="24"/>
          <w:szCs w:val="24"/>
          <w:lang w:val="en-US" w:eastAsia="zh-CN" w:bidi="ar-SA"/>
        </w:rPr>
        <w:t>（二）</w:t>
      </w:r>
      <w:r>
        <w:rPr>
          <w:rFonts w:hint="eastAsia" w:ascii="宋体" w:hAnsi="宋体" w:eastAsia="宋体" w:cs="宋体"/>
          <w:b/>
          <w:bCs/>
          <w:kern w:val="0"/>
          <w:sz w:val="24"/>
          <w:szCs w:val="24"/>
        </w:rPr>
        <w:t>质量要求</w:t>
      </w:r>
    </w:p>
    <w:p w14:paraId="2DCB78D2">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中标人供应的各类食材必须符合国家《中华人民共和国产品质量法》、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"https://baike.baidu.com/item/%E3%80%8A%E4%B8%AD%E5%8D%8E%E4%BA%BA%E6%B0%91%E5%85%B1%E5%92%8C%E5%9B%BD%E9%A3%9F%E5%93%81%E5%AE%89%E5%85%A8%E6%B3%95%E3%80%8B/0?fromModule=lemma_inlink" \t "https://baike.baidu.com/item/%E4%B8%AD%E5%8D%8E%E4%BA%BA%E6%B0%91%E5%85%B1%E5%92%8C%E5%9B%BD%E9%A3%9F%E5%93%81%E5%8D%AB%E7%94%9F%E6%B3%95/_blank"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《中华人民共和国食品安全法》</w:t>
      </w:r>
      <w:r>
        <w:rPr>
          <w:rFonts w:hint="eastAsia" w:ascii="宋体" w:hAnsi="宋体" w:eastAsia="宋体" w:cs="宋体"/>
          <w:sz w:val="24"/>
          <w:szCs w:val="24"/>
        </w:rPr>
        <w:fldChar w:fldCharType="end"/>
      </w:r>
      <w:r>
        <w:rPr>
          <w:rFonts w:hint="eastAsia" w:ascii="宋体" w:hAnsi="宋体" w:eastAsia="宋体" w:cs="宋体"/>
          <w:sz w:val="24"/>
          <w:szCs w:val="24"/>
        </w:rPr>
        <w:t>等相关法律法规的要求，确保所供食材优质新鲜，符合卫生防疫部门、检验检疫部门的各项合格指标，并有完整的销售合格标注或证书。</w:t>
      </w:r>
      <w:r>
        <w:rPr>
          <w:rFonts w:hint="eastAsia" w:ascii="宋体" w:hAnsi="宋体" w:eastAsia="宋体" w:cs="宋体"/>
          <w:sz w:val="24"/>
          <w:szCs w:val="24"/>
          <w:lang w:val="en-US" w:eastAsia="zh-CN"/>
        </w:rPr>
        <w:t>中标人</w:t>
      </w:r>
      <w:r>
        <w:rPr>
          <w:rFonts w:hint="eastAsia" w:ascii="宋体" w:hAnsi="宋体" w:eastAsia="宋体" w:cs="宋体"/>
          <w:sz w:val="24"/>
          <w:szCs w:val="24"/>
        </w:rPr>
        <w:t>供应的蔬菜食材，必须符合国家农产品安全质量无公害蔬菜安全要求、食材中污染物限量、食品中农药中最大残留限量等规定和</w:t>
      </w:r>
      <w:r>
        <w:rPr>
          <w:rFonts w:hint="eastAsia" w:ascii="宋体" w:hAnsi="宋体" w:eastAsia="宋体" w:cs="宋体"/>
          <w:sz w:val="24"/>
          <w:szCs w:val="24"/>
          <w:lang w:eastAsia="zh-CN"/>
        </w:rPr>
        <w:t>采购人</w:t>
      </w:r>
      <w:r>
        <w:rPr>
          <w:rFonts w:hint="eastAsia" w:ascii="宋体" w:hAnsi="宋体" w:eastAsia="宋体" w:cs="宋体"/>
          <w:sz w:val="24"/>
          <w:szCs w:val="24"/>
        </w:rPr>
        <w:t>有关的质量要求，供应质量必须经过粗加工，食用率达95%以上。供应的肉类、禽蛋类、水产类食材，必须符合相关环境保护、知识产权等方面的法律要求，必须符合</w:t>
      </w:r>
      <w:r>
        <w:rPr>
          <w:rFonts w:hint="eastAsia" w:ascii="宋体" w:hAnsi="宋体" w:eastAsia="宋体" w:cs="宋体"/>
          <w:sz w:val="24"/>
          <w:szCs w:val="24"/>
          <w:lang w:eastAsia="zh-CN"/>
        </w:rPr>
        <w:t>采购人</w:t>
      </w:r>
      <w:r>
        <w:rPr>
          <w:rFonts w:hint="eastAsia" w:ascii="宋体" w:hAnsi="宋体" w:eastAsia="宋体" w:cs="宋体"/>
          <w:sz w:val="24"/>
          <w:szCs w:val="24"/>
        </w:rPr>
        <w:t>提出的有关特殊要求和质量标准。严禁配送假冒、变质、过期的产品。不合格的货品，中标人必须无条件包退包换。（注：中标人须提供承诺书加盖投标人公章，承诺书格式不限，由投标人自行拟定。）</w:t>
      </w:r>
    </w:p>
    <w:p w14:paraId="2CB31C6F">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中标人所供食品必须有规范统一的包装，出厂时厂家有包装的，必须保证原包装完好，出厂时无制式包装的散装食品，必须按照</w:t>
      </w:r>
      <w:r>
        <w:rPr>
          <w:rFonts w:hint="eastAsia" w:ascii="宋体" w:hAnsi="宋体" w:eastAsia="宋体" w:cs="宋体"/>
          <w:sz w:val="24"/>
          <w:szCs w:val="24"/>
          <w:lang w:eastAsia="zh-CN"/>
        </w:rPr>
        <w:t>采购人</w:t>
      </w:r>
      <w:r>
        <w:rPr>
          <w:rFonts w:hint="eastAsia" w:ascii="宋体" w:hAnsi="宋体" w:eastAsia="宋体" w:cs="宋体"/>
          <w:sz w:val="24"/>
          <w:szCs w:val="24"/>
        </w:rPr>
        <w:t>要求进行分类包装，包装材料严禁使用有毒有害材质。散装食品必须建立台账制度，详细记录生产经营者的名称、住所、联系方式、产品批次、检验检疫等信息。</w:t>
      </w:r>
    </w:p>
    <w:p w14:paraId="4BD2C041">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eastAsia="zh-CN"/>
        </w:rPr>
        <w:t>采购人</w:t>
      </w:r>
      <w:r>
        <w:rPr>
          <w:rFonts w:hint="eastAsia" w:ascii="宋体" w:hAnsi="宋体" w:eastAsia="宋体" w:cs="宋体"/>
          <w:sz w:val="24"/>
          <w:szCs w:val="24"/>
        </w:rPr>
        <w:t>对部分食品有加工要求时，中标人必须严格按照</w:t>
      </w:r>
      <w:r>
        <w:rPr>
          <w:rFonts w:hint="eastAsia" w:ascii="宋体" w:hAnsi="宋体" w:eastAsia="宋体" w:cs="宋体"/>
          <w:sz w:val="24"/>
          <w:szCs w:val="24"/>
          <w:lang w:eastAsia="zh-CN"/>
        </w:rPr>
        <w:t>采购人</w:t>
      </w:r>
      <w:r>
        <w:rPr>
          <w:rFonts w:hint="eastAsia" w:ascii="宋体" w:hAnsi="宋体" w:eastAsia="宋体" w:cs="宋体"/>
          <w:sz w:val="24"/>
          <w:szCs w:val="24"/>
        </w:rPr>
        <w:t>要求及加工制作程序进行加工，且加工过程必须符合卫生要求；加工费用由</w:t>
      </w:r>
      <w:r>
        <w:rPr>
          <w:rFonts w:hint="eastAsia" w:ascii="宋体" w:hAnsi="宋体" w:eastAsia="宋体" w:cs="宋体"/>
          <w:sz w:val="24"/>
          <w:szCs w:val="24"/>
          <w:lang w:eastAsia="zh-CN"/>
        </w:rPr>
        <w:t>采购人</w:t>
      </w:r>
      <w:r>
        <w:rPr>
          <w:rFonts w:hint="eastAsia" w:ascii="宋体" w:hAnsi="宋体" w:eastAsia="宋体" w:cs="宋体"/>
          <w:sz w:val="24"/>
          <w:szCs w:val="24"/>
        </w:rPr>
        <w:t>和中标人双方以补充协议的形式另行约定。</w:t>
      </w:r>
    </w:p>
    <w:p w14:paraId="74B24D12">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因产品质量而导致的缺陷，必须免费提供“三包”服务，如出现质量问题或保质期不足的情况，</w:t>
      </w:r>
      <w:r>
        <w:rPr>
          <w:rFonts w:hint="eastAsia" w:ascii="宋体" w:hAnsi="宋体" w:eastAsia="宋体" w:cs="宋体"/>
          <w:sz w:val="24"/>
          <w:szCs w:val="24"/>
          <w:lang w:eastAsia="zh-CN"/>
        </w:rPr>
        <w:t>采购人</w:t>
      </w:r>
      <w:r>
        <w:rPr>
          <w:rFonts w:hint="eastAsia" w:ascii="宋体" w:hAnsi="宋体" w:eastAsia="宋体" w:cs="宋体"/>
          <w:sz w:val="24"/>
          <w:szCs w:val="24"/>
        </w:rPr>
        <w:t>有权拒绝接受所提供的物品或食材。如</w:t>
      </w:r>
      <w:r>
        <w:rPr>
          <w:rFonts w:hint="eastAsia" w:ascii="宋体" w:hAnsi="宋体" w:eastAsia="宋体" w:cs="宋体"/>
          <w:sz w:val="24"/>
          <w:szCs w:val="24"/>
          <w:lang w:eastAsia="zh-CN"/>
        </w:rPr>
        <w:t>采购人</w:t>
      </w:r>
      <w:r>
        <w:rPr>
          <w:rFonts w:hint="eastAsia" w:ascii="宋体" w:hAnsi="宋体" w:eastAsia="宋体" w:cs="宋体"/>
          <w:sz w:val="24"/>
          <w:szCs w:val="24"/>
        </w:rPr>
        <w:t>（或委托第三方）抽检发现不合格食品或食用</w:t>
      </w:r>
      <w:r>
        <w:rPr>
          <w:rFonts w:hint="eastAsia" w:ascii="宋体" w:hAnsi="宋体" w:eastAsia="宋体" w:cs="宋体"/>
          <w:sz w:val="24"/>
          <w:szCs w:val="24"/>
          <w:lang w:eastAsia="zh-CN"/>
        </w:rPr>
        <w:t>中标人</w:t>
      </w:r>
      <w:r>
        <w:rPr>
          <w:rFonts w:hint="eastAsia" w:ascii="宋体" w:hAnsi="宋体" w:eastAsia="宋体" w:cs="宋体"/>
          <w:sz w:val="24"/>
          <w:szCs w:val="24"/>
        </w:rPr>
        <w:t>提供的不合格食品引起食品安全事件的，</w:t>
      </w:r>
      <w:r>
        <w:rPr>
          <w:rFonts w:hint="eastAsia" w:ascii="宋体" w:hAnsi="宋体" w:eastAsia="宋体" w:cs="宋体"/>
          <w:sz w:val="24"/>
          <w:szCs w:val="24"/>
          <w:lang w:eastAsia="zh-CN"/>
        </w:rPr>
        <w:t>中标人</w:t>
      </w:r>
      <w:r>
        <w:rPr>
          <w:rFonts w:hint="eastAsia" w:ascii="宋体" w:hAnsi="宋体" w:eastAsia="宋体" w:cs="宋体"/>
          <w:sz w:val="24"/>
          <w:szCs w:val="24"/>
        </w:rPr>
        <w:t>应承担相应的法律责任和经济赔偿。</w:t>
      </w:r>
    </w:p>
    <w:p w14:paraId="132FB3A4">
      <w:pPr>
        <w:widowControl/>
        <w:numPr>
          <w:ilvl w:val="0"/>
          <w:numId w:val="0"/>
        </w:numPr>
        <w:tabs>
          <w:tab w:val="left" w:pos="284"/>
        </w:tabs>
        <w:autoSpaceDE w:val="0"/>
        <w:autoSpaceDN w:val="0"/>
        <w:adjustRightInd w:val="0"/>
        <w:snapToGrid w:val="0"/>
        <w:ind w:left="0" w:leftChars="0" w:firstLine="420" w:firstLineChars="0"/>
        <w:jc w:val="left"/>
        <w:outlineLvl w:val="2"/>
        <w:rPr>
          <w:rFonts w:ascii="宋体" w:hAnsi="宋体" w:eastAsia="宋体" w:cs="宋体"/>
          <w:sz w:val="24"/>
          <w:szCs w:val="24"/>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rPr>
        <w:t>鲜肉（猪肉类、牛羊肉类等）、大米、食用油、面、禽蛋、海鲜类、蔬菜、水果及调味品等</w:t>
      </w:r>
    </w:p>
    <w:p w14:paraId="5C66673F">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b/>
          <w:kern w:val="2"/>
          <w:sz w:val="24"/>
          <w:szCs w:val="24"/>
          <w:lang w:val="en-US" w:eastAsia="zh-CN" w:bidi="ar-SA"/>
        </w:rPr>
        <w:t>1</w:t>
      </w:r>
      <w:r>
        <w:rPr>
          <w:rFonts w:hint="eastAsia" w:ascii="宋体" w:hAnsi="宋体" w:eastAsia="宋体" w:cs="宋体"/>
          <w:b/>
          <w:kern w:val="2"/>
          <w:sz w:val="24"/>
          <w:szCs w:val="24"/>
          <w:lang w:val="en-US" w:eastAsia="zh-CN" w:bidi="ar-SA"/>
        </w:rPr>
        <w:t>.</w:t>
      </w:r>
      <w:r>
        <w:rPr>
          <w:rFonts w:hint="eastAsia" w:ascii="宋体" w:hAnsi="宋体" w:eastAsia="宋体" w:cs="宋体"/>
          <w:b/>
          <w:bCs/>
          <w:sz w:val="24"/>
          <w:szCs w:val="24"/>
        </w:rPr>
        <w:t>鲜肉类（猪肉类、牛羊肉类）质量要求：</w:t>
      </w:r>
    </w:p>
    <w:p w14:paraId="48E32C0F">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rPr>
        <w:t>必须是新鲜肉类（不能提供冷冻肉类），无瘦肉精、无抗生素、无</w:t>
      </w:r>
    </w:p>
    <w:p w14:paraId="066166CC">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sz w:val="24"/>
          <w:szCs w:val="24"/>
        </w:rPr>
        <w:t>注水，符合国家食材部门的有关标准，保证无异味、无霉烂变质，每批鲜肉须是来源于国营肉联厂，每次交货时提供本批次产品的出厂（库）检验合格证明（随车同行）：《肉品品质检验合格证》、《动物检验合格证明》、肉体印有检疫章。</w:t>
      </w:r>
      <w:r>
        <w:rPr>
          <w:rFonts w:hint="eastAsia" w:ascii="宋体" w:hAnsi="宋体" w:eastAsia="宋体" w:cs="宋体"/>
          <w:sz w:val="24"/>
          <w:szCs w:val="24"/>
        </w:rPr>
        <w:br w:type="textWrapping"/>
      </w:r>
      <w:r>
        <w:rPr>
          <w:rFonts w:hint="eastAsia" w:ascii="宋体" w:hAnsi="宋体" w:eastAsia="宋体" w:cs="宋体"/>
          <w:sz w:val="24"/>
          <w:szCs w:val="24"/>
        </w:rPr>
        <w:t xml:space="preserve">    （2）确保每日新鲜、表皮白净、毛少或无毛；脂肪洁白有光泽，肉呈鲜红色或玫红色；弹性好，按之迅速恢复；表面不黏手；有正常的肉味，无异味。烧鸡、烧鸭、烧鹅等熟食（特别是鲜制熟食）保质期较短，保鲜要求高，供应的熟食需保证产品的品质，</w:t>
      </w:r>
      <w:r>
        <w:rPr>
          <w:rFonts w:hint="eastAsia" w:ascii="宋体" w:hAnsi="宋体" w:eastAsia="宋体" w:cs="宋体"/>
          <w:sz w:val="24"/>
          <w:szCs w:val="24"/>
          <w:lang w:val="en-US" w:eastAsia="zh-CN"/>
        </w:rPr>
        <w:t>中标</w:t>
      </w:r>
      <w:r>
        <w:rPr>
          <w:rFonts w:hint="eastAsia" w:ascii="宋体" w:hAnsi="宋体" w:eastAsia="宋体" w:cs="宋体"/>
          <w:sz w:val="24"/>
          <w:szCs w:val="24"/>
        </w:rPr>
        <w:t>人须注明各类熟食的供货渠道及包装方式，配送的肉类可追踪溯源。</w:t>
      </w:r>
    </w:p>
    <w:p w14:paraId="0F42E81A">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大米质量要求</w:t>
      </w:r>
      <w:r>
        <w:rPr>
          <w:rFonts w:hint="eastAsia" w:ascii="宋体" w:hAnsi="宋体" w:eastAsia="宋体" w:cs="宋体"/>
          <w:sz w:val="24"/>
          <w:szCs w:val="24"/>
        </w:rPr>
        <w:t>：</w:t>
      </w:r>
    </w:p>
    <w:p w14:paraId="67FFAF42">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sz w:val="24"/>
          <w:szCs w:val="24"/>
        </w:rPr>
        <w:t>有国家机关发出的产品检验合格证书，标明加工厂名称、品名、生产日期、保</w:t>
      </w:r>
      <w:r>
        <w:rPr>
          <w:rFonts w:hint="eastAsia" w:ascii="宋体" w:hAnsi="宋体" w:eastAsia="宋体" w:cs="宋体"/>
          <w:sz w:val="24"/>
          <w:szCs w:val="24"/>
          <w:lang w:val="en-US" w:eastAsia="zh-CN"/>
        </w:rPr>
        <w:t>质</w:t>
      </w:r>
      <w:r>
        <w:rPr>
          <w:rFonts w:hint="eastAsia" w:ascii="宋体" w:hAnsi="宋体" w:eastAsia="宋体" w:cs="宋体"/>
          <w:sz w:val="24"/>
          <w:szCs w:val="24"/>
        </w:rPr>
        <w:t>期或保存期，供货时的剩余保质期不少于三分之二，质量等级、产品标准号、产品合格证，质量符合大米国家标准与国家粮食卫生标准，如国家标准有最新规定，从其规定执行。大米具有固有色泽和香味，无污染、无虫害，色泽、气味、口味正常，无异味或霉味（霉变），无虫蛀结块挂丝或杂质异</w:t>
      </w:r>
      <w:r>
        <w:rPr>
          <w:rFonts w:hint="eastAsia" w:ascii="宋体" w:hAnsi="宋体" w:eastAsia="宋体" w:cs="宋体"/>
          <w:sz w:val="24"/>
          <w:szCs w:val="24"/>
          <w:lang w:val="en-US" w:eastAsia="zh-CN"/>
        </w:rPr>
        <w:t>常</w:t>
      </w:r>
      <w:r>
        <w:rPr>
          <w:rFonts w:hint="eastAsia" w:ascii="宋体" w:hAnsi="宋体" w:eastAsia="宋体" w:cs="宋体"/>
          <w:sz w:val="24"/>
          <w:szCs w:val="24"/>
        </w:rPr>
        <w:t>等，符合国家粮食卫生标准。</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食用油质量要求：</w:t>
      </w:r>
      <w:r>
        <w:rPr>
          <w:rFonts w:hint="eastAsia" w:ascii="宋体" w:hAnsi="宋体" w:eastAsia="宋体" w:cs="宋体"/>
          <w:sz w:val="24"/>
          <w:szCs w:val="24"/>
        </w:rPr>
        <w:br w:type="textWrapping"/>
      </w:r>
      <w:r>
        <w:rPr>
          <w:rFonts w:hint="eastAsia" w:ascii="宋体" w:hAnsi="宋体" w:eastAsia="宋体" w:cs="宋体"/>
          <w:sz w:val="24"/>
          <w:szCs w:val="24"/>
        </w:rPr>
        <w:t xml:space="preserve">   （1）基本要求：外包装完好，有国家机关发出的产品检验合格证书，标明品名、厂名、重量、生产日期、保质期或保存期、执行标准，供货时的剩余保质期不少于三分之二，具有产品合格证。具有正常植物油的色泽、透明度、气味和滋味，无焦臭、酸败及其他异味。气味、滋味：具有固有的气味和滋味，无异味。加热试验（280℃）油色不得变深，无析出杂物。</w:t>
      </w:r>
      <w:r>
        <w:rPr>
          <w:rFonts w:hint="eastAsia" w:ascii="宋体" w:hAnsi="宋体" w:eastAsia="宋体" w:cs="宋体"/>
          <w:sz w:val="24"/>
          <w:szCs w:val="24"/>
        </w:rPr>
        <w:br w:type="textWrapping"/>
      </w:r>
      <w:r>
        <w:rPr>
          <w:rFonts w:hint="eastAsia" w:ascii="宋体" w:hAnsi="宋体" w:eastAsia="宋体" w:cs="宋体"/>
          <w:sz w:val="24"/>
          <w:szCs w:val="24"/>
        </w:rPr>
        <w:t xml:space="preserve">   （2）国家一级标准非转基因食用油、花生油和橄榄油交替使用。</w:t>
      </w:r>
    </w:p>
    <w:p w14:paraId="4DFA1511">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b/>
          <w:sz w:val="24"/>
          <w:szCs w:val="24"/>
          <w:lang w:val="en-US" w:eastAsia="zh-CN"/>
        </w:rPr>
        <w:t>.</w:t>
      </w:r>
      <w:r>
        <w:rPr>
          <w:rFonts w:hint="eastAsia" w:ascii="宋体" w:hAnsi="宋体" w:eastAsia="宋体" w:cs="宋体"/>
          <w:b/>
          <w:sz w:val="24"/>
          <w:szCs w:val="24"/>
        </w:rPr>
        <w:t>面类的质量要求</w:t>
      </w:r>
      <w:r>
        <w:rPr>
          <w:rFonts w:hint="eastAsia" w:ascii="宋体" w:hAnsi="宋体" w:eastAsia="宋体" w:cs="宋体"/>
          <w:sz w:val="24"/>
          <w:szCs w:val="24"/>
        </w:rPr>
        <w:t>：</w:t>
      </w:r>
    </w:p>
    <w:p w14:paraId="482719F8">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eastAsia" w:ascii="宋体" w:hAnsi="宋体" w:eastAsia="宋体" w:cs="宋体"/>
          <w:sz w:val="24"/>
          <w:szCs w:val="24"/>
        </w:rPr>
        <w:t>面类食材须符合卫生，不得有变质、霉变、生虫、污秽不</w:t>
      </w:r>
      <w:r>
        <w:rPr>
          <w:rFonts w:hint="eastAsia" w:ascii="宋体" w:hAnsi="宋体" w:eastAsia="宋体" w:cs="宋体"/>
          <w:sz w:val="24"/>
          <w:szCs w:val="24"/>
          <w:lang w:val="en-US" w:eastAsia="zh-CN"/>
        </w:rPr>
        <w:t>洁</w:t>
      </w:r>
      <w:r>
        <w:rPr>
          <w:rFonts w:hint="eastAsia" w:ascii="宋体" w:hAnsi="宋体" w:eastAsia="宋体" w:cs="宋体"/>
          <w:sz w:val="24"/>
          <w:szCs w:val="24"/>
        </w:rPr>
        <w:t>、混有异物或者其他感官性状异常，并可能对人体健康有害的物质。 包装要标明生产日期、保质期、厂名、厂址等，面粉不应加入增白剂；面粉颜色呈微黄或乳黄色，没有黑点；面粉闻起来要有麦香味，没有酸、霉等异味。</w:t>
      </w:r>
    </w:p>
    <w:p w14:paraId="70B545F1">
      <w:pPr>
        <w:autoSpaceDE w:val="0"/>
        <w:autoSpaceDN w:val="0"/>
        <w:adjustRightInd w:val="0"/>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sz w:val="24"/>
          <w:szCs w:val="24"/>
          <w:lang w:val="en-US" w:eastAsia="zh-CN"/>
        </w:rPr>
        <w:t>.</w:t>
      </w:r>
      <w:r>
        <w:rPr>
          <w:rFonts w:hint="eastAsia" w:ascii="宋体" w:hAnsi="宋体" w:eastAsia="宋体" w:cs="宋体"/>
          <w:b/>
          <w:sz w:val="24"/>
          <w:szCs w:val="24"/>
        </w:rPr>
        <w:t>禽蛋类的质量要求：</w:t>
      </w:r>
    </w:p>
    <w:p w14:paraId="481C8FAE">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sz w:val="24"/>
          <w:szCs w:val="24"/>
        </w:rPr>
      </w:pPr>
      <w:r>
        <w:rPr>
          <w:rFonts w:hint="eastAsia" w:ascii="宋体" w:hAnsi="宋体" w:eastAsia="宋体" w:cs="宋体"/>
          <w:sz w:val="24"/>
          <w:szCs w:val="24"/>
        </w:rPr>
        <w:t>（1）鸡蛋：蛋壳清洁完整，色泽鲜明，无破损、裂纹，无霉斑，灯光透视时，整个蛋呈桔黄色至橙红色，蛋黄不见或略见阴影，没有霉味、酸味，臭味等不良气味，不得含有苏丹红Ⅰ、苏丹红Ⅱ、苏丹红Ⅲ、苏丹红Ⅳ。打开后蛋黄凸起、完整、有韧性，蛋白澄清、透明、稀稠分明，无异味。</w:t>
      </w:r>
    </w:p>
    <w:p w14:paraId="6AED125F">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b/>
          <w:bCs/>
          <w:sz w:val="24"/>
          <w:szCs w:val="24"/>
        </w:rPr>
      </w:pPr>
      <w:r>
        <w:rPr>
          <w:rFonts w:hint="eastAsia" w:ascii="宋体" w:hAnsi="宋体" w:eastAsia="宋体" w:cs="宋体"/>
          <w:sz w:val="24"/>
          <w:szCs w:val="24"/>
        </w:rPr>
        <w:t>（2）咸蛋：蛋壳亦完整无损，无裂纹或霉斑，不得含有苏丹红Ⅰ、苏丹红Ⅱ、苏丹红Ⅲ、苏丹红Ⅳ。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海鲜类的质量要求：</w:t>
      </w:r>
    </w:p>
    <w:p w14:paraId="61C0A5B5">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b/>
          <w:bCs/>
          <w:sz w:val="24"/>
          <w:szCs w:val="24"/>
        </w:rPr>
      </w:pPr>
      <w:r>
        <w:rPr>
          <w:rFonts w:hint="eastAsia" w:ascii="宋体" w:hAnsi="宋体" w:eastAsia="宋体" w:cs="宋体"/>
          <w:bCs/>
          <w:sz w:val="24"/>
          <w:szCs w:val="24"/>
        </w:rPr>
        <w:t>以海鱼为主，</w:t>
      </w:r>
      <w:r>
        <w:rPr>
          <w:rFonts w:hint="eastAsia" w:ascii="宋体" w:hAnsi="宋体" w:eastAsia="宋体" w:cs="宋体"/>
          <w:sz w:val="24"/>
          <w:szCs w:val="24"/>
        </w:rPr>
        <w:t>鲜鱼鳞片完整，有光泽无脱落，鳃口紧闭，眼球光亮透明，鱼鳃鲜红，鳍尾完整，确保皮肤天然色泽明显。鱼体饱满结实、新鲜、无腐烂异味，肉质紧密有弹性，无离骨脱刺现象。鲜鱼类来源可靠放心，无毒，无害，无污染等，湿水率符合国家相关规定。</w:t>
      </w:r>
      <w:r>
        <w:rPr>
          <w:rFonts w:hint="eastAsia" w:ascii="宋体" w:hAnsi="宋体" w:eastAsia="宋体" w:cs="宋体"/>
          <w:bCs/>
          <w:sz w:val="24"/>
          <w:szCs w:val="24"/>
        </w:rPr>
        <w:br w:type="textWrapping"/>
      </w:r>
      <w:r>
        <w:rPr>
          <w:rFonts w:hint="eastAsia" w:ascii="宋体" w:hAnsi="宋体" w:eastAsia="宋体" w:cs="宋体"/>
          <w:bCs/>
          <w:sz w:val="24"/>
          <w:szCs w:val="24"/>
          <w:lang w:val="en-US" w:eastAsia="zh-CN"/>
        </w:rPr>
        <w:tab/>
      </w: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冷冻食品类质量标准：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bCs/>
          <w:sz w:val="24"/>
          <w:szCs w:val="24"/>
        </w:rPr>
        <w:t>（1）冷冻肉要求肉体冻实而坚硬，无化冻现象，肉质紧密而有弹性，色泽均匀，不粘手，交货时干净、新鲜、无异味；</w:t>
      </w:r>
      <w:r>
        <w:rPr>
          <w:rFonts w:hint="eastAsia" w:ascii="宋体" w:hAnsi="宋体" w:eastAsia="宋体" w:cs="宋体"/>
          <w:bCs/>
          <w:sz w:val="24"/>
          <w:szCs w:val="24"/>
        </w:rPr>
        <w:br w:type="textWrapping"/>
      </w:r>
      <w:r>
        <w:rPr>
          <w:rFonts w:hint="eastAsia" w:ascii="宋体" w:hAnsi="宋体" w:eastAsia="宋体" w:cs="宋体"/>
          <w:bCs/>
          <w:sz w:val="24"/>
          <w:szCs w:val="24"/>
          <w:lang w:val="en-US" w:eastAsia="zh-CN"/>
        </w:rPr>
        <w:tab/>
      </w:r>
      <w:r>
        <w:rPr>
          <w:rFonts w:hint="eastAsia" w:ascii="宋体" w:hAnsi="宋体" w:eastAsia="宋体" w:cs="宋体"/>
          <w:bCs/>
          <w:sz w:val="24"/>
          <w:szCs w:val="24"/>
        </w:rPr>
        <w:t>（2）冷冻鱼类要求鱼眼睛清亮，角膜透明，鳞片上覆有冻结的透明黏液层，皮肤天然色泽明显。</w:t>
      </w:r>
      <w:r>
        <w:rPr>
          <w:rFonts w:hint="eastAsia" w:ascii="宋体" w:hAnsi="宋体" w:eastAsia="宋体" w:cs="宋体"/>
          <w:bCs/>
          <w:sz w:val="24"/>
          <w:szCs w:val="24"/>
        </w:rPr>
        <w:br w:type="textWrapping"/>
      </w:r>
      <w:r>
        <w:rPr>
          <w:rFonts w:hint="eastAsia" w:ascii="宋体" w:hAnsi="宋体" w:eastAsia="宋体" w:cs="宋体"/>
          <w:bCs/>
          <w:sz w:val="24"/>
          <w:szCs w:val="24"/>
          <w:lang w:val="en-US" w:eastAsia="zh-CN"/>
        </w:rPr>
        <w:tab/>
      </w:r>
      <w:r>
        <w:rPr>
          <w:rFonts w:hint="eastAsia" w:ascii="宋体" w:hAnsi="宋体" w:eastAsia="宋体" w:cs="宋体"/>
          <w:bCs/>
          <w:sz w:val="24"/>
          <w:szCs w:val="24"/>
        </w:rPr>
        <w:t>（3）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供应当日，所有冻品应不超出生产日期60天。</w:t>
      </w:r>
      <w:r>
        <w:rPr>
          <w:rFonts w:hint="eastAsia" w:ascii="宋体" w:hAnsi="宋体" w:eastAsia="宋体" w:cs="宋体"/>
          <w:bCs/>
          <w:sz w:val="24"/>
          <w:szCs w:val="24"/>
        </w:rPr>
        <w:br w:type="textWrapping"/>
      </w:r>
      <w:r>
        <w:rPr>
          <w:rFonts w:hint="eastAsia" w:ascii="宋体" w:hAnsi="宋体" w:eastAsia="宋体" w:cs="宋体"/>
          <w:sz w:val="24"/>
          <w:szCs w:val="24"/>
        </w:rPr>
        <w:t xml:space="preserve">     </w:t>
      </w:r>
      <w:r>
        <w:rPr>
          <w:rFonts w:hint="eastAsia" w:ascii="宋体" w:hAnsi="宋体" w:eastAsia="宋体" w:cs="宋体"/>
          <w:b/>
          <w:bCs/>
          <w:sz w:val="24"/>
          <w:szCs w:val="24"/>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蔬菜类质量要求：</w:t>
      </w:r>
      <w:r>
        <w:rPr>
          <w:rFonts w:hint="eastAsia" w:ascii="宋体" w:hAnsi="宋体" w:eastAsia="宋体" w:cs="宋体"/>
          <w:sz w:val="24"/>
          <w:szCs w:val="24"/>
        </w:rPr>
        <w:br w:type="textWrapping"/>
      </w:r>
      <w:r>
        <w:rPr>
          <w:rFonts w:hint="eastAsia" w:ascii="宋体" w:hAnsi="宋体" w:eastAsia="宋体" w:cs="宋体"/>
          <w:sz w:val="24"/>
          <w:szCs w:val="24"/>
        </w:rPr>
        <w:t xml:space="preserve">    （1）瓜类、蔬菜类须是优质货品，不得含有残留农药或污染物，中标人须保证所供应的蔬菜符合卫生质量标准，配送的蔬菜类可追踪溯源，同时承担因所供蔬菜问题引起的一切事故后果。卫生质量指标，应符合</w:t>
      </w:r>
      <w:r>
        <w:rPr>
          <w:rFonts w:hint="eastAsia" w:ascii="宋体" w:hAnsi="宋体" w:eastAsia="宋体" w:cs="宋体"/>
          <w:sz w:val="24"/>
          <w:szCs w:val="24"/>
          <w:lang w:eastAsia="zh-CN"/>
        </w:rPr>
        <w:t>国家无公害蔬菜</w:t>
      </w:r>
      <w:r>
        <w:rPr>
          <w:rFonts w:hint="eastAsia" w:ascii="宋体" w:hAnsi="宋体" w:eastAsia="宋体" w:cs="宋体"/>
          <w:sz w:val="24"/>
          <w:szCs w:val="24"/>
        </w:rPr>
        <w:t>上的卫生指标规定。</w:t>
      </w:r>
      <w:r>
        <w:rPr>
          <w:rFonts w:hint="eastAsia" w:ascii="宋体" w:hAnsi="宋体" w:eastAsia="宋体" w:cs="宋体"/>
          <w:sz w:val="24"/>
          <w:szCs w:val="24"/>
        </w:rPr>
        <w:br w:type="textWrapping"/>
      </w:r>
      <w:r>
        <w:rPr>
          <w:rFonts w:hint="eastAsia" w:ascii="宋体" w:hAnsi="宋体" w:eastAsia="宋体" w:cs="宋体"/>
          <w:sz w:val="24"/>
          <w:szCs w:val="24"/>
        </w:rPr>
        <w:t xml:space="preserve">    （2）叶菜类：挺实、全味正、颜色好、无黄叶、腐烂叶与多泥根，水</w:t>
      </w:r>
      <w:r>
        <w:rPr>
          <w:rFonts w:hint="eastAsia" w:ascii="宋体" w:hAnsi="宋体" w:eastAsia="宋体" w:cs="宋体"/>
          <w:sz w:val="24"/>
          <w:szCs w:val="24"/>
          <w:lang w:val="en-US" w:eastAsia="zh-CN"/>
        </w:rPr>
        <w:t>分</w:t>
      </w:r>
      <w:r>
        <w:rPr>
          <w:rFonts w:hint="eastAsia" w:ascii="宋体" w:hAnsi="宋体" w:eastAsia="宋体" w:cs="宋体"/>
          <w:sz w:val="24"/>
          <w:szCs w:val="24"/>
        </w:rPr>
        <w:t>充足、无萎蔫、不成熟现象。</w:t>
      </w:r>
      <w:r>
        <w:rPr>
          <w:rFonts w:hint="eastAsia" w:ascii="宋体" w:hAnsi="宋体" w:eastAsia="宋体" w:cs="宋体"/>
          <w:sz w:val="24"/>
          <w:szCs w:val="24"/>
        </w:rPr>
        <w:br w:type="textWrapping"/>
      </w:r>
      <w:r>
        <w:rPr>
          <w:rFonts w:hint="eastAsia" w:ascii="宋体" w:hAnsi="宋体" w:eastAsia="宋体" w:cs="宋体"/>
          <w:sz w:val="24"/>
          <w:szCs w:val="24"/>
        </w:rPr>
        <w:t xml:space="preserve">    （3）瓜菜类：个大、成熟、新鲜、外皮无斑点、有新鲜绿秧、无软化、变质现象。</w:t>
      </w:r>
      <w:r>
        <w:rPr>
          <w:rFonts w:hint="eastAsia" w:ascii="宋体" w:hAnsi="宋体" w:eastAsia="宋体" w:cs="宋体"/>
          <w:sz w:val="24"/>
          <w:szCs w:val="24"/>
        </w:rPr>
        <w:br w:type="textWrapping"/>
      </w:r>
      <w:r>
        <w:rPr>
          <w:rFonts w:hint="eastAsia" w:ascii="宋体" w:hAnsi="宋体" w:eastAsia="宋体" w:cs="宋体"/>
          <w:sz w:val="24"/>
          <w:szCs w:val="24"/>
        </w:rPr>
        <w:t xml:space="preserve">    （4）根菜类：挺实、无软化、腐烂、带泥过多、色泽正常、形状正常、无生芽现象。</w:t>
      </w:r>
      <w:r>
        <w:rPr>
          <w:rFonts w:hint="eastAsia" w:ascii="宋体" w:hAnsi="宋体" w:eastAsia="宋体" w:cs="宋体"/>
          <w:sz w:val="24"/>
          <w:szCs w:val="24"/>
        </w:rPr>
        <w:br w:type="textWrapping"/>
      </w:r>
      <w:r>
        <w:rPr>
          <w:rFonts w:hint="eastAsia" w:ascii="宋体" w:hAnsi="宋体" w:eastAsia="宋体" w:cs="宋体"/>
          <w:sz w:val="24"/>
          <w:szCs w:val="24"/>
        </w:rPr>
        <w:t xml:space="preserve">    （5）蔬瓜供应要求：蔬菜瓜类供应的品种安排（分主菜和配菜）；主菜配菜品种按</w:t>
      </w:r>
      <w:r>
        <w:rPr>
          <w:rFonts w:hint="eastAsia" w:ascii="宋体" w:hAnsi="宋体" w:eastAsia="宋体" w:cs="宋体"/>
          <w:sz w:val="24"/>
          <w:szCs w:val="24"/>
          <w:lang w:eastAsia="zh-CN"/>
        </w:rPr>
        <w:t>采购人</w:t>
      </w:r>
      <w:r>
        <w:rPr>
          <w:rFonts w:hint="eastAsia" w:ascii="宋体" w:hAnsi="宋体" w:eastAsia="宋体" w:cs="宋体"/>
          <w:sz w:val="24"/>
          <w:szCs w:val="24"/>
        </w:rPr>
        <w:t>计划和要求的品种供应；供菜重量须达到</w:t>
      </w:r>
      <w:r>
        <w:rPr>
          <w:rFonts w:hint="eastAsia" w:ascii="宋体" w:hAnsi="宋体" w:eastAsia="宋体" w:cs="宋体"/>
          <w:sz w:val="24"/>
          <w:szCs w:val="24"/>
          <w:lang w:eastAsia="zh-CN"/>
        </w:rPr>
        <w:t>采购人</w:t>
      </w:r>
      <w:r>
        <w:rPr>
          <w:rFonts w:hint="eastAsia" w:ascii="宋体" w:hAnsi="宋体" w:eastAsia="宋体" w:cs="宋体"/>
          <w:sz w:val="24"/>
          <w:szCs w:val="24"/>
        </w:rPr>
        <w:t>的供货需求重量。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水果类质量要求：</w:t>
      </w:r>
    </w:p>
    <w:p w14:paraId="75966678">
      <w:pPr>
        <w:numPr>
          <w:ilvl w:val="0"/>
          <w:numId w:val="0"/>
        </w:numPr>
        <w:autoSpaceDE w:val="0"/>
        <w:autoSpaceDN w:val="0"/>
        <w:adjustRightInd w:val="0"/>
        <w:spacing w:line="360" w:lineRule="auto"/>
        <w:ind w:left="0" w:leftChars="0" w:firstLine="400" w:firstLineChars="0"/>
        <w:jc w:val="left"/>
        <w:rPr>
          <w:rFonts w:hint="eastAsia" w:ascii="宋体" w:hAnsi="宋体" w:eastAsia="宋体" w:cs="宋体"/>
          <w:b/>
          <w:bCs/>
          <w:sz w:val="24"/>
          <w:szCs w:val="24"/>
        </w:rPr>
      </w:pPr>
      <w:r>
        <w:rPr>
          <w:rFonts w:hint="eastAsia" w:ascii="宋体" w:hAnsi="宋体" w:eastAsia="宋体" w:cs="宋体"/>
          <w:sz w:val="24"/>
          <w:szCs w:val="24"/>
        </w:rPr>
        <w:t>中标人所提供的果品应符合国家规定的绿色果品要求，应是优质、洁净，而有毒有害物质在安全标准之下的果品，其品质、营养价值和卫生安全指标应严格符合国家的规定及相关食材卫生标准，配送的水果类可追踪溯源。提供的水果应当色泽光鲜、水润饱满、无腐烂，果品表面清洁新鲜，个头均匀，无病虫害和机械损伤，带有芳香味等。水果类供应要求：水果品种由供求双方根据季节安排，按</w:t>
      </w:r>
      <w:r>
        <w:rPr>
          <w:rFonts w:hint="eastAsia" w:ascii="宋体" w:hAnsi="宋体" w:eastAsia="宋体" w:cs="宋体"/>
          <w:sz w:val="24"/>
          <w:szCs w:val="24"/>
          <w:lang w:eastAsia="zh-CN"/>
        </w:rPr>
        <w:t>采购人</w:t>
      </w:r>
      <w:r>
        <w:rPr>
          <w:rFonts w:hint="eastAsia" w:ascii="宋体" w:hAnsi="宋体" w:eastAsia="宋体" w:cs="宋体"/>
          <w:sz w:val="24"/>
          <w:szCs w:val="24"/>
        </w:rPr>
        <w:t>计划和要求的品种供应。</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b/>
          <w:bCs/>
          <w:sz w:val="24"/>
          <w:szCs w:val="24"/>
        </w:rPr>
        <w:t>10</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调味品的质量要求：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rPr>
        <w:t>（1）产品包装要密封，无破损。标识说明完整详细包括：产品名称、净含量、配料表、制造者或经销者的名称和地址、产品标准号、生产日期、保质期，要注明生产日期和保质期。供货时的剩余保质期不少于三分之二。</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rPr>
        <w:t>（2）固态调味品无结块、异物，有纯正的香味和鲜美滋味。</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rPr>
        <w:t>（3）酱油的颜色应呈红褐色、棕褐色、有光泽而发乌，不应有沉淀物或染物，有一股浓烈的酱香味，味道鲜美。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rPr>
        <w:t>（4）食醋应透明澄清，浓度适当，没有悬浮物、霉花浮膜。优质食醋要求为琥珀色或红褐色或红棕色，醋香浓郁，无其它异味，醋酸度虽高而无刺激感，酸味柔和，稍有甜味，不涩，无其它异味。</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sz w:val="24"/>
          <w:szCs w:val="24"/>
        </w:rPr>
        <w:t>（5）酱类产品包装标识完整和标明有氨基酸态氮含量高低，要有储存条件，无“胀包”现象。色泽应为红褐色或棕褐色，有光泽。香气浓郁，有酱香和酯香，无不良气味。鲜味醇厚，咸甜适口，无酸、苦、涩、焦糊等异味。黏稠适度，无外来杂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ab/>
      </w: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预包装食品质量标准：</w:t>
      </w:r>
    </w:p>
    <w:p w14:paraId="366786A3">
      <w:pPr>
        <w:numPr>
          <w:ilvl w:val="0"/>
          <w:numId w:val="0"/>
        </w:numPr>
        <w:autoSpaceDE w:val="0"/>
        <w:autoSpaceDN w:val="0"/>
        <w:adjustRightInd w:val="0"/>
        <w:spacing w:line="360" w:lineRule="auto"/>
        <w:ind w:left="0" w:leftChars="0" w:firstLine="400" w:firstLineChars="0"/>
        <w:jc w:val="left"/>
        <w:rPr>
          <w:rFonts w:ascii="宋体" w:hAnsi="宋体" w:eastAsia="宋体" w:cs="宋体"/>
          <w:b/>
          <w:bCs/>
          <w:sz w:val="24"/>
          <w:szCs w:val="24"/>
        </w:rPr>
      </w:pPr>
      <w:r>
        <w:rPr>
          <w:rFonts w:hint="eastAsia" w:ascii="宋体" w:hAnsi="宋体" w:eastAsia="宋体" w:cs="宋体"/>
          <w:sz w:val="24"/>
          <w:szCs w:val="24"/>
        </w:rPr>
        <w:t>必须是符合</w:t>
      </w:r>
      <w:r>
        <w:rPr>
          <w:rFonts w:hint="eastAsia" w:ascii="宋体" w:hAnsi="宋体" w:eastAsia="宋体" w:cs="宋体"/>
          <w:sz w:val="24"/>
          <w:szCs w:val="24"/>
          <w:lang w:eastAsia="zh-CN"/>
        </w:rPr>
        <w:t>采购人</w:t>
      </w:r>
      <w:r>
        <w:rPr>
          <w:rFonts w:hint="eastAsia" w:ascii="宋体" w:hAnsi="宋体" w:eastAsia="宋体" w:cs="宋体"/>
          <w:sz w:val="24"/>
          <w:szCs w:val="24"/>
        </w:rPr>
        <w:t>指定的规格要求的产品，供货时，所有预包装食品剩余保质期应当在总保质期限的2/3以上。</w:t>
      </w:r>
    </w:p>
    <w:p w14:paraId="5DEF92D6">
      <w:pPr>
        <w:widowControl/>
        <w:numPr>
          <w:ilvl w:val="0"/>
          <w:numId w:val="0"/>
        </w:numPr>
        <w:autoSpaceDE w:val="0"/>
        <w:autoSpaceDN w:val="0"/>
        <w:adjustRightInd w:val="0"/>
        <w:snapToGrid w:val="0"/>
        <w:ind w:left="0" w:leftChars="0" w:firstLine="420" w:firstLineChars="0"/>
        <w:jc w:val="left"/>
        <w:outlineLvl w:val="2"/>
        <w:rPr>
          <w:rFonts w:ascii="宋体" w:hAnsi="宋体" w:eastAsia="宋体" w:cs="宋体"/>
          <w:b/>
          <w:bCs/>
          <w:kern w:val="0"/>
          <w:sz w:val="24"/>
          <w:szCs w:val="24"/>
        </w:rPr>
      </w:pPr>
      <w:r>
        <w:rPr>
          <w:rFonts w:hint="eastAsia" w:ascii="宋体" w:hAnsi="宋体" w:eastAsia="宋体" w:cs="宋体"/>
          <w:b/>
          <w:bCs/>
          <w:kern w:val="0"/>
          <w:sz w:val="24"/>
          <w:szCs w:val="24"/>
          <w:lang w:val="en-US" w:eastAsia="zh-CN" w:bidi="ar-SA"/>
        </w:rPr>
        <w:t>（四）</w:t>
      </w:r>
      <w:r>
        <w:rPr>
          <w:rFonts w:hint="eastAsia" w:ascii="宋体" w:hAnsi="宋体" w:eastAsia="宋体" w:cs="宋体"/>
          <w:b/>
          <w:bCs/>
          <w:kern w:val="0"/>
          <w:sz w:val="24"/>
          <w:szCs w:val="24"/>
        </w:rPr>
        <w:t>配送要求</w:t>
      </w:r>
    </w:p>
    <w:p w14:paraId="1D8AAD3D">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送货方式：每次根据使用单位的电话或其它方式通知订购品种、数量后，按指定的时间运送物品到我单位，中标人随货提供注明货物名称、单位、数量、售价及总金额的物品送货清单。</w:t>
      </w:r>
    </w:p>
    <w:p w14:paraId="4691BA81">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配送地点：海珠区南洲路2356号（或者海珠区滨江东路536号）、海珠区南洲路2408号。以上地址如有变更，</w:t>
      </w:r>
      <w:r>
        <w:rPr>
          <w:rFonts w:hint="eastAsia" w:ascii="宋体" w:hAnsi="宋体" w:eastAsia="宋体" w:cs="宋体"/>
          <w:sz w:val="24"/>
          <w:szCs w:val="24"/>
          <w:lang w:eastAsia="zh-CN"/>
        </w:rPr>
        <w:t>采购人</w:t>
      </w:r>
      <w:r>
        <w:rPr>
          <w:rFonts w:hint="eastAsia" w:ascii="宋体" w:hAnsi="宋体" w:eastAsia="宋体" w:cs="宋体"/>
          <w:sz w:val="24"/>
          <w:szCs w:val="24"/>
        </w:rPr>
        <w:t>应提前通知中标人。原则上，配送地点不会超出海珠区。</w:t>
      </w:r>
    </w:p>
    <w:p w14:paraId="592654B5">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包装要求：容器(框、箱、袋)要求清洁、干燥、牢固、透气，无污染、无异味、无霉变现象。</w:t>
      </w:r>
    </w:p>
    <w:p w14:paraId="2F911E6B">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ascii="宋体" w:hAnsi="宋体" w:eastAsia="宋体" w:cs="宋体"/>
          <w:sz w:val="24"/>
          <w:szCs w:val="24"/>
        </w:rPr>
        <w:t>运输要求：</w:t>
      </w:r>
      <w:r>
        <w:rPr>
          <w:rFonts w:hint="eastAsia" w:ascii="宋体" w:hAnsi="宋体" w:eastAsia="宋体" w:cs="宋体"/>
          <w:sz w:val="24"/>
          <w:szCs w:val="24"/>
          <w:lang w:val="en-US" w:eastAsia="zh-CN"/>
        </w:rPr>
        <w:t>中标人</w:t>
      </w:r>
      <w:r>
        <w:rPr>
          <w:rFonts w:hint="eastAsia" w:ascii="宋体" w:hAnsi="宋体" w:eastAsia="宋体" w:cs="宋体"/>
          <w:sz w:val="24"/>
          <w:szCs w:val="24"/>
        </w:rPr>
        <w:t>至少配备一辆货车以及一辆冷藏车</w:t>
      </w:r>
      <w:r>
        <w:rPr>
          <w:rFonts w:hint="eastAsia" w:ascii="宋体" w:hAnsi="宋体" w:eastAsia="宋体" w:cs="宋体"/>
          <w:sz w:val="24"/>
          <w:szCs w:val="24"/>
          <w:lang w:eastAsia="zh-CN"/>
        </w:rPr>
        <w:t>，</w:t>
      </w:r>
      <w:r>
        <w:rPr>
          <w:rFonts w:hint="eastAsia" w:ascii="宋体" w:hAnsi="宋体" w:eastAsia="宋体" w:cs="宋体"/>
          <w:sz w:val="24"/>
          <w:szCs w:val="24"/>
        </w:rPr>
        <w:t>运输工具应清洁卫生无污染：食品运输必须采用符合卫生标准的外包装和运载工具，</w:t>
      </w:r>
      <w:r>
        <w:rPr>
          <w:rFonts w:hint="eastAsia" w:ascii="宋体" w:hAnsi="宋体" w:eastAsia="宋体" w:cs="宋体"/>
          <w:color w:val="auto"/>
          <w:sz w:val="24"/>
          <w:szCs w:val="24"/>
        </w:rPr>
        <w:t>并且要保持清洁和定期消毒。配送车辆车厢内无不良气味、异味；运输途中严防日晒、雨淋，注意通风散热；蔬菜应小心轻卸，严防机械损伤。食品堆放科学合理，避免造成食品的交叉污染。</w:t>
      </w:r>
    </w:p>
    <w:p w14:paraId="2E57AB49">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rPr>
        <w:t>数量（斤两）要求：保证配送品种斤两的准确性，以验货数量为准，中标人每次随货送上一式三份的送货清单，供双方验货后签字确认，</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持两份，中标人持一份，作为送、收货的凭证。</w:t>
      </w:r>
    </w:p>
    <w:p w14:paraId="37E01D83">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rPr>
        <w:t>每次根据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通知的订购品种和数量，于指定日期的早上8点前送到。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另有要求的，从其要求。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将指定负责人验收过秤记录。对于不符合质量的品种，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将退货或换货。</w:t>
      </w:r>
    </w:p>
    <w:p w14:paraId="3F17D6A6">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若由于产品质量问题造成</w:t>
      </w:r>
      <w:r>
        <w:rPr>
          <w:rFonts w:hint="eastAsia" w:ascii="宋体" w:hAnsi="宋体" w:eastAsia="宋体" w:cs="宋体"/>
          <w:sz w:val="24"/>
          <w:szCs w:val="24"/>
          <w:lang w:eastAsia="zh-CN"/>
        </w:rPr>
        <w:t>采购人</w:t>
      </w:r>
      <w:r>
        <w:rPr>
          <w:rFonts w:hint="eastAsia" w:ascii="宋体" w:hAnsi="宋体" w:eastAsia="宋体" w:cs="宋体"/>
          <w:sz w:val="24"/>
          <w:szCs w:val="24"/>
        </w:rPr>
        <w:t>人员发生安全事故或投诉时，中标人须配合</w:t>
      </w:r>
      <w:r>
        <w:rPr>
          <w:rFonts w:hint="eastAsia" w:ascii="宋体" w:hAnsi="宋体" w:eastAsia="宋体" w:cs="宋体"/>
          <w:sz w:val="24"/>
          <w:szCs w:val="24"/>
          <w:lang w:eastAsia="zh-CN"/>
        </w:rPr>
        <w:t>采购人</w:t>
      </w:r>
      <w:r>
        <w:rPr>
          <w:rFonts w:hint="eastAsia" w:ascii="宋体" w:hAnsi="宋体" w:eastAsia="宋体" w:cs="宋体"/>
          <w:sz w:val="24"/>
          <w:szCs w:val="24"/>
        </w:rPr>
        <w:t>调查并承担全部责任。</w:t>
      </w:r>
    </w:p>
    <w:p w14:paraId="4BDF755B">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kern w:val="0"/>
          <w:sz w:val="24"/>
          <w:szCs w:val="24"/>
        </w:rPr>
      </w:pPr>
      <w:r>
        <w:rPr>
          <w:rFonts w:hint="default" w:ascii="宋体" w:hAnsi="宋体" w:eastAsia="宋体" w:cs="宋体"/>
          <w:b/>
          <w:kern w:val="0"/>
          <w:sz w:val="24"/>
          <w:szCs w:val="24"/>
          <w:lang w:val="en-US" w:eastAsia="zh-CN" w:bidi="ar-SA"/>
        </w:rPr>
        <w:t>五、</w:t>
      </w:r>
      <w:r>
        <w:rPr>
          <w:rFonts w:hint="eastAsia" w:ascii="宋体" w:hAnsi="宋体" w:eastAsia="宋体" w:cs="宋体"/>
          <w:b/>
          <w:kern w:val="0"/>
          <w:sz w:val="24"/>
          <w:szCs w:val="24"/>
        </w:rPr>
        <w:t>管理要求</w:t>
      </w:r>
    </w:p>
    <w:p w14:paraId="6D843450">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w:t>
      </w:r>
      <w:r>
        <w:rPr>
          <w:rFonts w:hint="eastAsia" w:ascii="宋体" w:hAnsi="宋体" w:eastAsia="宋体" w:cs="宋体"/>
          <w:bCs/>
          <w:color w:val="auto"/>
          <w:sz w:val="24"/>
          <w:szCs w:val="24"/>
        </w:rPr>
        <w:t>为了保证好食品安全，中标人应在项目实施地设置配送场所（自有或租赁），如果投标人未在项目实施地设置配送场所（自有或租赁）的，须承诺中标后设置（提供《承诺函》，格式自拟）。</w:t>
      </w:r>
      <w:r>
        <w:rPr>
          <w:rFonts w:hint="eastAsia" w:ascii="宋体" w:hAnsi="宋体" w:eastAsia="宋体" w:cs="宋体"/>
          <w:color w:val="auto"/>
          <w:sz w:val="24"/>
          <w:szCs w:val="24"/>
        </w:rPr>
        <w:t>配送场所应具有相关生产安全监控及管理规章制度，以满足日常供货需求，且场所至</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地址配送时间最长不超过1小时。</w:t>
      </w:r>
    </w:p>
    <w:p w14:paraId="4E5B384C">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中标人应具备自有检测设备、与食材检测相关的试剂、仪器，同时配备有食材安全检验资质的服务人员，或</w:t>
      </w:r>
      <w:r>
        <w:rPr>
          <w:rFonts w:hint="eastAsia" w:ascii="宋体" w:hAnsi="宋体" w:eastAsia="宋体" w:cs="宋体"/>
          <w:sz w:val="24"/>
          <w:szCs w:val="24"/>
          <w:lang w:val="en-US" w:eastAsia="zh-CN"/>
        </w:rPr>
        <w:t>中标人</w:t>
      </w:r>
      <w:r>
        <w:rPr>
          <w:rFonts w:hint="eastAsia" w:ascii="宋体" w:hAnsi="宋体" w:eastAsia="宋体" w:cs="宋体"/>
          <w:sz w:val="24"/>
          <w:szCs w:val="24"/>
        </w:rPr>
        <w:t>与第三方检测机构有合作的协议，以保证供货质量安全。</w:t>
      </w:r>
    </w:p>
    <w:p w14:paraId="1EB8A9FA">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为了配送的及时性，要求中标人自有或租赁冷链（或冷藏或冷冻）货车，以满足日常食材配送所需，冷链（或冷藏或冷冻）货车的租赁期限须覆盖本项目服务期。</w:t>
      </w:r>
    </w:p>
    <w:p w14:paraId="5CFAE0DF">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中标人不得将配送服务业务私自转让或委托他人经营。一经发现，</w:t>
      </w:r>
      <w:r>
        <w:rPr>
          <w:rFonts w:hint="eastAsia" w:ascii="宋体" w:hAnsi="宋体" w:eastAsia="宋体" w:cs="宋体"/>
          <w:sz w:val="24"/>
          <w:szCs w:val="24"/>
          <w:lang w:eastAsia="zh-CN"/>
        </w:rPr>
        <w:t>采购人</w:t>
      </w:r>
      <w:r>
        <w:rPr>
          <w:rFonts w:hint="eastAsia" w:ascii="宋体" w:hAnsi="宋体" w:eastAsia="宋体" w:cs="宋体"/>
          <w:sz w:val="24"/>
          <w:szCs w:val="24"/>
        </w:rPr>
        <w:t>有权无条件终止本合同，因此产生的一切损失和相关法律责任由中标人承担。中标人的工作人员要遵守餐饮法规及</w:t>
      </w:r>
      <w:r>
        <w:rPr>
          <w:rFonts w:hint="eastAsia" w:ascii="宋体" w:hAnsi="宋体" w:eastAsia="宋体" w:cs="宋体"/>
          <w:sz w:val="24"/>
          <w:szCs w:val="24"/>
          <w:lang w:eastAsia="zh-CN"/>
        </w:rPr>
        <w:t>采购人</w:t>
      </w:r>
      <w:r>
        <w:rPr>
          <w:rFonts w:hint="eastAsia" w:ascii="宋体" w:hAnsi="宋体" w:eastAsia="宋体" w:cs="宋体"/>
          <w:sz w:val="24"/>
          <w:szCs w:val="24"/>
        </w:rPr>
        <w:t xml:space="preserve">内部有关规定,要有良好的服务态度并监督实施,如发现违规者, </w:t>
      </w:r>
      <w:r>
        <w:rPr>
          <w:rFonts w:hint="eastAsia" w:ascii="宋体" w:hAnsi="宋体" w:eastAsia="宋体" w:cs="宋体"/>
          <w:sz w:val="24"/>
          <w:szCs w:val="24"/>
          <w:lang w:eastAsia="zh-CN"/>
        </w:rPr>
        <w:t>采购人</w:t>
      </w:r>
      <w:r>
        <w:rPr>
          <w:rFonts w:hint="eastAsia" w:ascii="宋体" w:hAnsi="宋体" w:eastAsia="宋体" w:cs="宋体"/>
          <w:sz w:val="24"/>
          <w:szCs w:val="24"/>
        </w:rPr>
        <w:t>有权视情节提出处理意见。</w:t>
      </w:r>
    </w:p>
    <w:p w14:paraId="5EDBDC6B">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卫生检疫、工作人员体检、各类保险、伤残疾病等费用均由中标人自理,因中标人的管理不善造成事故、食物中毒,由中标人负全部责任。</w:t>
      </w:r>
    </w:p>
    <w:p w14:paraId="68C35379">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如</w:t>
      </w:r>
      <w:r>
        <w:rPr>
          <w:rFonts w:hint="eastAsia" w:ascii="宋体" w:hAnsi="宋体" w:eastAsia="宋体" w:cs="宋体"/>
          <w:sz w:val="24"/>
          <w:szCs w:val="24"/>
          <w:lang w:eastAsia="zh-CN"/>
        </w:rPr>
        <w:t>采购人</w:t>
      </w:r>
      <w:r>
        <w:rPr>
          <w:rFonts w:hint="eastAsia" w:ascii="宋体" w:hAnsi="宋体" w:eastAsia="宋体" w:cs="宋体"/>
          <w:sz w:val="24"/>
          <w:szCs w:val="24"/>
        </w:rPr>
        <w:t>有需要采购食材价格目录清单之外的食材或食品，中标人必须无条件配合并提供货物，所供货物的基准价格以当时市场价为准，并结合中标人所填报的中标</w:t>
      </w:r>
      <w:r>
        <w:rPr>
          <w:rFonts w:hint="eastAsia" w:ascii="宋体" w:hAnsi="宋体" w:eastAsia="宋体" w:cs="宋体"/>
          <w:sz w:val="24"/>
          <w:szCs w:val="24"/>
          <w:lang w:val="en-US" w:eastAsia="zh-CN"/>
        </w:rPr>
        <w:t>下浮</w:t>
      </w:r>
      <w:r>
        <w:rPr>
          <w:rFonts w:hint="eastAsia" w:ascii="宋体" w:hAnsi="宋体" w:eastAsia="宋体" w:cs="宋体"/>
          <w:sz w:val="24"/>
          <w:szCs w:val="24"/>
        </w:rPr>
        <w:t>率确定食品的单价。</w:t>
      </w:r>
    </w:p>
    <w:p w14:paraId="0E70BBDA">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eastAsia="zh-CN"/>
        </w:rPr>
        <w:t>采购人</w:t>
      </w:r>
      <w:r>
        <w:rPr>
          <w:rFonts w:hint="eastAsia" w:ascii="宋体" w:hAnsi="宋体" w:eastAsia="宋体" w:cs="宋体"/>
          <w:sz w:val="24"/>
          <w:szCs w:val="24"/>
        </w:rPr>
        <w:t>对政府扶贫农副产品有自主采购权，</w:t>
      </w:r>
      <w:r>
        <w:rPr>
          <w:rFonts w:hint="eastAsia" w:ascii="宋体" w:hAnsi="宋体" w:eastAsia="宋体" w:cs="宋体"/>
          <w:sz w:val="24"/>
          <w:szCs w:val="24"/>
          <w:lang w:eastAsia="zh-CN"/>
        </w:rPr>
        <w:t>采购人</w:t>
      </w:r>
      <w:r>
        <w:rPr>
          <w:rFonts w:hint="eastAsia" w:ascii="宋体" w:hAnsi="宋体" w:eastAsia="宋体" w:cs="宋体"/>
          <w:sz w:val="24"/>
          <w:szCs w:val="24"/>
        </w:rPr>
        <w:t>有权直接采购，不受中标人和本项目制约。</w:t>
      </w:r>
    </w:p>
    <w:p w14:paraId="10DB8E7B">
      <w:pPr>
        <w:numPr>
          <w:ilvl w:val="0"/>
          <w:numId w:val="0"/>
        </w:numPr>
        <w:autoSpaceDE w:val="0"/>
        <w:autoSpaceDN w:val="0"/>
        <w:adjustRightInd w:val="0"/>
        <w:spacing w:line="360" w:lineRule="auto"/>
        <w:ind w:left="0" w:leftChars="0" w:firstLine="400" w:firstLineChars="0"/>
        <w:jc w:val="left"/>
        <w:rPr>
          <w:rFonts w:ascii="宋体" w:hAnsi="宋体" w:eastAsia="宋体" w:cs="宋体"/>
          <w:sz w:val="24"/>
          <w:szCs w:val="24"/>
        </w:rPr>
      </w:pPr>
      <w:r>
        <w:rPr>
          <w:rFonts w:hint="default"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中标</w:t>
      </w:r>
      <w:r>
        <w:rPr>
          <w:rFonts w:hint="eastAsia" w:ascii="宋体" w:hAnsi="宋体" w:eastAsia="宋体" w:cs="宋体"/>
          <w:sz w:val="24"/>
          <w:szCs w:val="24"/>
        </w:rPr>
        <w:t>人应购买食品安全责任险。</w:t>
      </w:r>
    </w:p>
    <w:p w14:paraId="138D95D2">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bCs/>
          <w:kern w:val="0"/>
          <w:sz w:val="24"/>
          <w:szCs w:val="24"/>
        </w:rPr>
      </w:pPr>
      <w:r>
        <w:rPr>
          <w:rFonts w:hint="default" w:ascii="宋体" w:hAnsi="宋体" w:eastAsia="宋体" w:cs="宋体"/>
          <w:b/>
          <w:bCs/>
          <w:kern w:val="0"/>
          <w:sz w:val="24"/>
          <w:szCs w:val="24"/>
          <w:lang w:val="en-US" w:eastAsia="zh-CN" w:bidi="ar-SA"/>
        </w:rPr>
        <w:t>六、</w:t>
      </w:r>
      <w:r>
        <w:rPr>
          <w:rFonts w:hint="eastAsia" w:ascii="宋体" w:hAnsi="宋体" w:eastAsia="宋体" w:cs="宋体"/>
          <w:b/>
          <w:bCs/>
          <w:kern w:val="0"/>
          <w:sz w:val="24"/>
          <w:szCs w:val="24"/>
        </w:rPr>
        <w:t>验收要求</w:t>
      </w:r>
    </w:p>
    <w:p w14:paraId="5AC20282">
      <w:pPr>
        <w:widowControl/>
        <w:numPr>
          <w:ilvl w:val="0"/>
          <w:numId w:val="0"/>
        </w:numPr>
        <w:tabs>
          <w:tab w:val="left" w:pos="284"/>
        </w:tabs>
        <w:autoSpaceDE w:val="0"/>
        <w:autoSpaceDN w:val="0"/>
        <w:adjustRightInd w:val="0"/>
        <w:snapToGrid w:val="0"/>
        <w:spacing w:line="360" w:lineRule="auto"/>
        <w:ind w:left="0" w:leftChars="0" w:firstLine="403" w:firstLineChars="0"/>
        <w:jc w:val="left"/>
        <w:rPr>
          <w:rFonts w:ascii="宋体" w:hAnsi="宋体" w:eastAsia="宋体" w:cs="宋体"/>
          <w:color w:val="auto"/>
          <w:kern w:val="0"/>
          <w:sz w:val="24"/>
          <w:szCs w:val="24"/>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rPr>
        <w:t xml:space="preserve">数量重量验收：蔬菜水果类：去筐包装后按实物过磅称重验收。 </w:t>
      </w:r>
    </w:p>
    <w:p w14:paraId="78228BD4">
      <w:pPr>
        <w:numPr>
          <w:ilvl w:val="0"/>
          <w:numId w:val="0"/>
        </w:numPr>
        <w:autoSpaceDE w:val="0"/>
        <w:autoSpaceDN w:val="0"/>
        <w:adjustRightInd w:val="0"/>
        <w:spacing w:line="360" w:lineRule="auto"/>
        <w:ind w:left="0" w:leftChars="0" w:firstLine="400" w:firstLineChars="0"/>
        <w:jc w:val="left"/>
        <w:rPr>
          <w:rFonts w:ascii="宋体" w:hAnsi="宋体" w:eastAsia="宋体" w:cs="宋体"/>
          <w:kern w:val="0"/>
          <w:sz w:val="24"/>
          <w:szCs w:val="24"/>
        </w:rPr>
      </w:pPr>
      <w:r>
        <w:rPr>
          <w:rFonts w:hint="default"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hint="eastAsia" w:ascii="宋体" w:hAnsi="宋体" w:eastAsia="宋体" w:cs="宋体"/>
          <w:color w:val="auto"/>
          <w:kern w:val="0"/>
          <w:sz w:val="24"/>
          <w:szCs w:val="24"/>
        </w:rPr>
        <w:t>每日产品配送前，中标人应当进行数量、质量自检，自检合格后，将货物送货至</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交货地点，由</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根据投标文件约定对货物的规格要求和质量标准进行检查验收。经</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当场验收质量和数量后，中标人将订货单一并交于当日</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指定的收货人员，由</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主管人员、相关负责人员签名确认后，将作为有效结算单据；对不符合规格要求的商品，中标人必须无条件退</w:t>
      </w:r>
      <w:r>
        <w:rPr>
          <w:rFonts w:hint="eastAsia" w:ascii="宋体" w:hAnsi="宋体" w:eastAsia="宋体" w:cs="宋体"/>
          <w:kern w:val="0"/>
          <w:sz w:val="24"/>
          <w:szCs w:val="24"/>
        </w:rPr>
        <w:t xml:space="preserve">货、换货。  </w:t>
      </w:r>
    </w:p>
    <w:p w14:paraId="1D36C1F3">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kern w:val="0"/>
          <w:sz w:val="24"/>
          <w:szCs w:val="24"/>
        </w:rPr>
      </w:pPr>
      <w:r>
        <w:rPr>
          <w:rFonts w:hint="default" w:ascii="宋体" w:hAnsi="宋体"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做好卸货前的检查。双方验收人员卸货前应对场地和验收设备做好准备，并对物品的外观质量进行初步了解。食品运输必须采用符合卫生标准的外包装和运输工具，保持清洁和定期消</w:t>
      </w:r>
      <w:r>
        <w:rPr>
          <w:rFonts w:hint="eastAsia" w:ascii="宋体" w:hAnsi="宋体" w:eastAsia="宋体" w:cs="宋体"/>
          <w:color w:val="auto"/>
          <w:kern w:val="0"/>
          <w:sz w:val="24"/>
          <w:szCs w:val="24"/>
        </w:rPr>
        <w:t xml:space="preserve">毒，车厢内无不良气味、异味。食品应清洁，无损伤、腐烂现象，外包装完整，无寄生虫或已受虫害现象。   </w:t>
      </w:r>
    </w:p>
    <w:p w14:paraId="11674D01">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FF0000"/>
          <w:kern w:val="0"/>
          <w:sz w:val="24"/>
          <w:szCs w:val="24"/>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rPr>
        <w:t>采取现场验收的方式，双方验收人员应认真检查食材的质量，按索票——验证——检查——计数——入库的程序完成验收，中标人可提供原件的留原件，原件只有一份而无法提供给</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的查验原件后，索取复印件留存。</w:t>
      </w:r>
      <w:r>
        <w:rPr>
          <w:rFonts w:hint="eastAsia" w:ascii="宋体" w:hAnsi="宋体" w:eastAsia="宋体" w:cs="宋体"/>
          <w:color w:val="FF0000"/>
          <w:kern w:val="0"/>
          <w:sz w:val="24"/>
          <w:szCs w:val="24"/>
        </w:rPr>
        <w:t xml:space="preserve">   </w:t>
      </w:r>
    </w:p>
    <w:p w14:paraId="7C827699">
      <w:pPr>
        <w:numPr>
          <w:ilvl w:val="0"/>
          <w:numId w:val="0"/>
        </w:numPr>
        <w:autoSpaceDE w:val="0"/>
        <w:autoSpaceDN w:val="0"/>
        <w:adjustRightInd w:val="0"/>
        <w:spacing w:line="360" w:lineRule="auto"/>
        <w:ind w:left="0" w:leftChars="0" w:firstLine="400" w:firstLineChars="0"/>
        <w:jc w:val="left"/>
        <w:rPr>
          <w:rFonts w:ascii="宋体" w:hAnsi="宋体" w:eastAsia="宋体" w:cs="宋体"/>
          <w:kern w:val="0"/>
          <w:sz w:val="24"/>
          <w:szCs w:val="24"/>
        </w:rPr>
      </w:pPr>
      <w:r>
        <w:rPr>
          <w:rFonts w:hint="default" w:ascii="宋体" w:hAnsi="宋体"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验收人员按招标文件产品质量要求对货物质量进行检查，比较相关文件，以确保货物品种符合要求。如确定有所差异，应即刻通知送货人员。如发现物品有损坏的情况，应在相关单据上记录所有损坏情况，对物品损坏情况进行拍照并存档，对于物品验收的全部信息数据，</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 xml:space="preserve">使用单位验收人员应和中标人送货人员一起确认，并保留双方签字单据。 </w:t>
      </w:r>
    </w:p>
    <w:p w14:paraId="14190270">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kern w:val="0"/>
          <w:sz w:val="24"/>
          <w:szCs w:val="24"/>
        </w:rPr>
      </w:pPr>
      <w:r>
        <w:rPr>
          <w:rFonts w:hint="default" w:ascii="宋体" w:hAnsi="宋体" w:eastAsia="宋体" w:cs="宋体"/>
          <w:kern w:val="0"/>
          <w:sz w:val="24"/>
          <w:szCs w:val="24"/>
          <w:lang w:val="en-US" w:eastAsia="zh-CN" w:bidi="ar-SA"/>
        </w:rPr>
        <w:t>6</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若现场验收时未发现问题，而</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在加工食用前发现部分食材质量有问题，</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立即通知食</w:t>
      </w:r>
      <w:r>
        <w:rPr>
          <w:rFonts w:hint="eastAsia" w:ascii="宋体" w:hAnsi="宋体" w:eastAsia="宋体" w:cs="宋体"/>
          <w:color w:val="auto"/>
          <w:kern w:val="0"/>
          <w:sz w:val="24"/>
          <w:szCs w:val="24"/>
        </w:rPr>
        <w:t xml:space="preserve">材验收小组与中标人沟通，将问题食材退货处理，同时留样备检。  </w:t>
      </w:r>
    </w:p>
    <w:p w14:paraId="7C68B3A7">
      <w:pPr>
        <w:numPr>
          <w:ilvl w:val="0"/>
          <w:numId w:val="0"/>
        </w:numPr>
        <w:autoSpaceDE w:val="0"/>
        <w:autoSpaceDN w:val="0"/>
        <w:adjustRightInd w:val="0"/>
        <w:spacing w:line="360" w:lineRule="auto"/>
        <w:ind w:left="0" w:leftChars="0" w:firstLine="400" w:firstLineChars="0"/>
        <w:jc w:val="left"/>
        <w:rPr>
          <w:rFonts w:ascii="宋体" w:hAnsi="宋体" w:eastAsia="宋体" w:cs="宋体"/>
          <w:color w:val="auto"/>
          <w:kern w:val="0"/>
          <w:sz w:val="24"/>
          <w:szCs w:val="24"/>
        </w:rPr>
      </w:pPr>
      <w:r>
        <w:rPr>
          <w:rFonts w:hint="default" w:ascii="宋体" w:hAnsi="宋体" w:eastAsia="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rPr>
        <w:t xml:space="preserve">对食材的卫生安全问题采取零容忍措施，一经发现，当日所送同批次食材全部退、换货，或者提前解除合同。  </w:t>
      </w:r>
    </w:p>
    <w:p w14:paraId="6040349C">
      <w:pPr>
        <w:numPr>
          <w:ilvl w:val="0"/>
          <w:numId w:val="0"/>
        </w:numPr>
        <w:autoSpaceDE w:val="0"/>
        <w:autoSpaceDN w:val="0"/>
        <w:adjustRightInd w:val="0"/>
        <w:spacing w:line="360" w:lineRule="auto"/>
        <w:ind w:left="0" w:leftChars="0" w:firstLine="400" w:firstLineChars="0"/>
        <w:jc w:val="left"/>
        <w:rPr>
          <w:rFonts w:ascii="宋体" w:hAnsi="宋体" w:eastAsia="宋体" w:cs="宋体"/>
          <w:kern w:val="0"/>
          <w:sz w:val="24"/>
          <w:szCs w:val="24"/>
        </w:rPr>
      </w:pPr>
      <w:r>
        <w:rPr>
          <w:rFonts w:hint="default" w:ascii="宋体" w:hAnsi="宋体" w:eastAsia="宋体"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有权不定期对配送食材进行检测，必要时采取第三方有资质</w:t>
      </w:r>
      <w:r>
        <w:rPr>
          <w:rFonts w:hint="eastAsia" w:ascii="宋体" w:hAnsi="宋体" w:eastAsia="宋体" w:cs="宋体"/>
          <w:kern w:val="0"/>
          <w:sz w:val="24"/>
          <w:szCs w:val="24"/>
        </w:rPr>
        <w:t xml:space="preserve">的检测机构来衡量食材质量问题，检测费用由中标人承担 。   </w:t>
      </w:r>
    </w:p>
    <w:p w14:paraId="23EF2357">
      <w:pPr>
        <w:numPr>
          <w:ilvl w:val="0"/>
          <w:numId w:val="0"/>
        </w:numPr>
        <w:autoSpaceDE w:val="0"/>
        <w:autoSpaceDN w:val="0"/>
        <w:adjustRightInd w:val="0"/>
        <w:spacing w:line="360" w:lineRule="auto"/>
        <w:ind w:left="0" w:leftChars="0" w:firstLine="400" w:firstLineChars="0"/>
        <w:jc w:val="left"/>
        <w:rPr>
          <w:rFonts w:ascii="宋体" w:hAnsi="宋体" w:eastAsia="宋体" w:cs="宋体"/>
          <w:kern w:val="0"/>
          <w:sz w:val="24"/>
          <w:szCs w:val="24"/>
        </w:rPr>
      </w:pPr>
      <w:r>
        <w:rPr>
          <w:rFonts w:hint="default" w:ascii="宋体" w:hAnsi="宋体" w:eastAsia="宋体" w:cs="宋体"/>
          <w:kern w:val="0"/>
          <w:sz w:val="24"/>
          <w:szCs w:val="24"/>
          <w:lang w:val="en-US" w:eastAsia="zh-CN" w:bidi="ar-SA"/>
        </w:rPr>
        <w:t>9</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食材溯源要求：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有权不定期检查中标人的食材供应链。中标人应对食材供应链进行明确，所有食材的来源必须清晰。生产食材的源头与中标人要有固定的合法的供应关系，严禁收购非标准食材供应。投标文件要求对食材的来源和质量标准要有详尽的描述，并提出验收的行业标准和感官标准。如该食材无质量标准，则需由</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人按国家和行业的要求自行描述；如</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人供应假冒伪劣食材、病死或死因不明的禽畜及其制品，一经发现，将按有关法律法规处理，情节特别严重的，将移送司法机关严厉处罚。</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有权根据实际验收情况建议或要求中标人更换食材供应商。</w:t>
      </w:r>
    </w:p>
    <w:p w14:paraId="4F11EFA4">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kern w:val="0"/>
          <w:sz w:val="24"/>
          <w:szCs w:val="24"/>
        </w:rPr>
      </w:pPr>
      <w:r>
        <w:rPr>
          <w:rFonts w:hint="default" w:ascii="宋体" w:hAnsi="宋体" w:eastAsia="宋体" w:cs="宋体"/>
          <w:b/>
          <w:kern w:val="0"/>
          <w:sz w:val="24"/>
          <w:szCs w:val="24"/>
          <w:lang w:val="en-US" w:eastAsia="zh-CN" w:bidi="ar-SA"/>
        </w:rPr>
        <w:t>七、</w:t>
      </w:r>
      <w:r>
        <w:rPr>
          <w:rFonts w:ascii="宋体" w:hAnsi="宋体" w:eastAsia="宋体" w:cs="宋体"/>
          <w:b/>
          <w:kern w:val="0"/>
          <w:sz w:val="24"/>
          <w:szCs w:val="24"/>
        </w:rPr>
        <w:t>履约保证金</w:t>
      </w:r>
    </w:p>
    <w:p w14:paraId="667D879C">
      <w:pPr>
        <w:numPr>
          <w:ilvl w:val="0"/>
          <w:numId w:val="0"/>
        </w:numPr>
        <w:autoSpaceDE w:val="0"/>
        <w:autoSpaceDN w:val="0"/>
        <w:adjustRightInd w:val="0"/>
        <w:spacing w:line="360" w:lineRule="auto"/>
        <w:ind w:left="0" w:leftChars="0" w:firstLine="400" w:firstLineChars="0"/>
        <w:jc w:val="left"/>
        <w:rPr>
          <w:rFonts w:ascii="宋体" w:hAnsi="宋体" w:eastAsia="宋体" w:cs="宋体"/>
          <w:kern w:val="0"/>
          <w:sz w:val="24"/>
          <w:szCs w:val="24"/>
        </w:rPr>
      </w:pPr>
      <w:r>
        <w:rPr>
          <w:rFonts w:hint="default"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提交说明：</w:t>
      </w:r>
    </w:p>
    <w:p w14:paraId="51AF8254">
      <w:pPr>
        <w:numPr>
          <w:ilvl w:val="0"/>
          <w:numId w:val="0"/>
        </w:numPr>
        <w:autoSpaceDE w:val="0"/>
        <w:autoSpaceDN w:val="0"/>
        <w:adjustRightInd w:val="0"/>
        <w:spacing w:line="360" w:lineRule="auto"/>
        <w:ind w:left="400" w:leftChars="0"/>
        <w:jc w:val="left"/>
        <w:rPr>
          <w:rFonts w:ascii="宋体" w:hAnsi="宋体" w:eastAsia="宋体" w:cs="宋体"/>
          <w:color w:val="auto"/>
          <w:kern w:val="0"/>
          <w:sz w:val="24"/>
          <w:szCs w:val="24"/>
        </w:rPr>
      </w:pPr>
      <w:r>
        <w:rPr>
          <w:rFonts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rPr>
        <w:t>金额：</w:t>
      </w:r>
      <w:r>
        <w:rPr>
          <w:rFonts w:hint="eastAsia" w:ascii="宋体" w:hAnsi="宋体" w:eastAsia="宋体" w:cs="宋体"/>
          <w:color w:val="auto"/>
          <w:kern w:val="0"/>
          <w:sz w:val="24"/>
          <w:szCs w:val="24"/>
          <w:lang w:val="en-US" w:eastAsia="zh-CN"/>
        </w:rPr>
        <w:t>预算</w:t>
      </w:r>
      <w:r>
        <w:rPr>
          <w:rFonts w:hint="eastAsia" w:ascii="宋体" w:hAnsi="宋体" w:eastAsia="宋体" w:cs="宋体"/>
          <w:color w:val="auto"/>
          <w:kern w:val="0"/>
          <w:sz w:val="24"/>
          <w:szCs w:val="24"/>
        </w:rPr>
        <w:t>金额的2%；</w:t>
      </w:r>
    </w:p>
    <w:p w14:paraId="2C9F36D3">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时间：合同签订之日起5日内；</w:t>
      </w:r>
    </w:p>
    <w:p w14:paraId="7883DF51">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 xml:space="preserve">方式：转账、支票、汇票、本票、保函； </w:t>
      </w:r>
    </w:p>
    <w:p w14:paraId="401F1D60">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.退还说明：</w:t>
      </w:r>
    </w:p>
    <w:p w14:paraId="369A8E45">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时间、方式和条件：中标人履行完成合同约定的权利义务事项在合同期满之日起30日内退还或在合同期满之日起30日内失效。不计利息。</w:t>
      </w:r>
    </w:p>
    <w:p w14:paraId="3E75C41C">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违约责任：采购人逾期退还履约保证金的，除应当退还履约保证金本金外，还应当每日按当批次履约保证金的1‰向中标人偿付违约金，但因中标人自身原因导致无法及时退还的除外。</w:t>
      </w:r>
    </w:p>
    <w:p w14:paraId="4F970257">
      <w:pPr>
        <w:numPr>
          <w:ilvl w:val="0"/>
          <w:numId w:val="0"/>
        </w:numPr>
        <w:autoSpaceDE w:val="0"/>
        <w:autoSpaceDN w:val="0"/>
        <w:adjustRightInd w:val="0"/>
        <w:spacing w:line="360" w:lineRule="auto"/>
        <w:ind w:left="0" w:leftChars="0" w:firstLine="400" w:firstLineChars="0"/>
        <w:jc w:val="left"/>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中标人违反合同及其附件约定的任何义务，采购人有权在履约保证金中直接扣除中标人应向采购人支付的违约金或损失赔偿额，如有不足的，中标人应对超过的部分予以赔偿。</w:t>
      </w:r>
    </w:p>
    <w:p w14:paraId="7337357C">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color w:val="auto"/>
          <w:kern w:val="0"/>
          <w:sz w:val="24"/>
          <w:szCs w:val="24"/>
        </w:rPr>
      </w:pPr>
      <w:r>
        <w:rPr>
          <w:rFonts w:hint="default" w:ascii="宋体" w:hAnsi="宋体" w:eastAsia="宋体" w:cs="宋体"/>
          <w:b/>
          <w:color w:val="auto"/>
          <w:kern w:val="0"/>
          <w:sz w:val="24"/>
          <w:szCs w:val="24"/>
          <w:lang w:val="en-US" w:eastAsia="zh-CN" w:bidi="ar-SA"/>
        </w:rPr>
        <w:t>八、</w:t>
      </w:r>
      <w:r>
        <w:rPr>
          <w:rFonts w:hint="eastAsia" w:ascii="宋体" w:hAnsi="宋体" w:eastAsia="宋体" w:cs="宋体"/>
          <w:b/>
          <w:color w:val="auto"/>
          <w:kern w:val="0"/>
          <w:sz w:val="24"/>
          <w:szCs w:val="24"/>
        </w:rPr>
        <w:t>定价</w:t>
      </w:r>
      <w:r>
        <w:rPr>
          <w:rFonts w:hint="eastAsia" w:ascii="宋体" w:hAnsi="宋体" w:eastAsia="宋体" w:cs="宋体"/>
          <w:b/>
          <w:bCs/>
          <w:color w:val="auto"/>
          <w:kern w:val="0"/>
          <w:sz w:val="24"/>
          <w:szCs w:val="24"/>
        </w:rPr>
        <w:t>方式</w:t>
      </w:r>
      <w:r>
        <w:rPr>
          <w:rFonts w:hint="eastAsia" w:ascii="宋体" w:hAnsi="宋体" w:eastAsia="宋体" w:cs="宋体"/>
          <w:b/>
          <w:color w:val="auto"/>
          <w:kern w:val="0"/>
          <w:sz w:val="24"/>
          <w:szCs w:val="24"/>
        </w:rPr>
        <w:t>及报价要求</w:t>
      </w:r>
    </w:p>
    <w:p w14:paraId="06B21ABF">
      <w:pPr>
        <w:numPr>
          <w:ilvl w:val="0"/>
          <w:numId w:val="0"/>
        </w:numPr>
        <w:autoSpaceDE w:val="0"/>
        <w:autoSpaceDN w:val="0"/>
        <w:adjustRightInd w:val="0"/>
        <w:spacing w:line="360" w:lineRule="auto"/>
        <w:ind w:left="0" w:leftChars="0" w:firstLine="420" w:firstLineChars="0"/>
        <w:jc w:val="left"/>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定价方式：</w:t>
      </w:r>
    </w:p>
    <w:p w14:paraId="4B45CEDF">
      <w:pPr>
        <w:numPr>
          <w:ilvl w:val="1"/>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以每周一“广州市发展和改革委员会网站（</w:t>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"http://fgw.gz.gov.cn/）" </w:instrText>
      </w:r>
      <w:r>
        <w:rPr>
          <w:rFonts w:ascii="Times New Roman" w:hAnsi="Times New Roman" w:eastAsia="宋体" w:cs="Times New Roman"/>
          <w:color w:val="auto"/>
        </w:rPr>
        <w:fldChar w:fldCharType="separate"/>
      </w:r>
      <w:r>
        <w:rPr>
          <w:rStyle w:val="7"/>
          <w:rFonts w:hint="eastAsia" w:ascii="宋体" w:hAnsi="宋体" w:eastAsia="宋体" w:cs="宋体"/>
          <w:color w:val="auto"/>
          <w:sz w:val="24"/>
          <w:szCs w:val="24"/>
        </w:rPr>
        <w:t>http://fgw.gz.gov.cn/）”的专题</w:t>
      </w:r>
      <w:r>
        <w:rPr>
          <w:rStyle w:val="7"/>
          <w:rFonts w:hint="eastAsia" w:ascii="宋体" w:hAnsi="宋体" w:eastAsia="宋体" w:cs="宋体"/>
          <w:color w:val="auto"/>
          <w:sz w:val="24"/>
          <w:szCs w:val="24"/>
        </w:rPr>
        <w:fldChar w:fldCharType="end"/>
      </w:r>
      <w:r>
        <w:rPr>
          <w:rFonts w:hint="eastAsia" w:ascii="宋体" w:hAnsi="宋体" w:eastAsia="宋体" w:cs="宋体"/>
          <w:color w:val="auto"/>
          <w:sz w:val="24"/>
          <w:szCs w:val="24"/>
        </w:rPr>
        <w:t>专栏“广州菜篮子价格”中食材价格的“全市菜篮子平均零售价”为参考，经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审核后作为本周食材采购定价的基准价；</w:t>
      </w:r>
    </w:p>
    <w:p w14:paraId="2FA18EF1">
      <w:pPr>
        <w:numPr>
          <w:ilvl w:val="1"/>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如果该食材在上述网站没有报价的，按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所在地附近周边市场公告的同类食材的零售价格为基准单价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基准单价须经采购人确认</w:t>
      </w:r>
      <w:r>
        <w:rPr>
          <w:rFonts w:hint="eastAsia" w:ascii="宋体" w:hAnsi="宋体" w:eastAsia="宋体" w:cs="宋体"/>
          <w:color w:val="auto"/>
          <w:sz w:val="24"/>
          <w:szCs w:val="24"/>
        </w:rPr>
        <w:t>。</w:t>
      </w:r>
    </w:p>
    <w:p w14:paraId="4810D4E6">
      <w:pPr>
        <w:numPr>
          <w:ilvl w:val="1"/>
          <w:numId w:val="0"/>
        </w:numPr>
        <w:autoSpaceDE w:val="0"/>
        <w:autoSpaceDN w:val="0"/>
        <w:adjustRightInd w:val="0"/>
        <w:spacing w:line="360" w:lineRule="auto"/>
        <w:ind w:left="0" w:leftChars="0" w:firstLine="400" w:firstLineChars="0"/>
        <w:jc w:val="left"/>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定价公式：结算价格=</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审核后的基准价×单价下浮率×实际供货量。</w:t>
      </w:r>
    </w:p>
    <w:p w14:paraId="7BF6A9FB">
      <w:pPr>
        <w:numPr>
          <w:ilvl w:val="0"/>
          <w:numId w:val="0"/>
        </w:numPr>
        <w:autoSpaceDE w:val="0"/>
        <w:autoSpaceDN w:val="0"/>
        <w:adjustRightInd w:val="0"/>
        <w:spacing w:line="360" w:lineRule="auto"/>
        <w:ind w:left="0" w:leftChars="0" w:firstLine="420" w:firstLineChars="0"/>
        <w:jc w:val="left"/>
        <w:rPr>
          <w:rFonts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（二）</w:t>
      </w:r>
      <w:r>
        <w:rPr>
          <w:rFonts w:hint="eastAsia" w:ascii="宋体" w:hAnsi="宋体" w:eastAsia="宋体" w:cs="宋体"/>
          <w:bCs/>
          <w:color w:val="auto"/>
          <w:sz w:val="24"/>
          <w:szCs w:val="24"/>
        </w:rPr>
        <w:t>如遇突发情况，不可</w:t>
      </w:r>
      <w:r>
        <w:rPr>
          <w:rFonts w:hint="eastAsia" w:ascii="宋体" w:hAnsi="宋体" w:eastAsia="宋体" w:cs="宋体"/>
          <w:bCs/>
          <w:color w:val="auto"/>
          <w:sz w:val="24"/>
          <w:szCs w:val="24"/>
          <w:lang w:eastAsia="zh-CN"/>
        </w:rPr>
        <w:t>预见</w:t>
      </w:r>
      <w:r>
        <w:rPr>
          <w:rFonts w:hint="eastAsia" w:ascii="宋体" w:hAnsi="宋体" w:eastAsia="宋体" w:cs="宋体"/>
          <w:bCs/>
          <w:color w:val="auto"/>
          <w:sz w:val="24"/>
          <w:szCs w:val="24"/>
        </w:rPr>
        <w:t>的因素造成的个别品种价格需临时做调整的，中标人应事先书面通知</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，在</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确认后方可调整。</w:t>
      </w:r>
    </w:p>
    <w:p w14:paraId="67F0A4A3">
      <w:pPr>
        <w:numPr>
          <w:ilvl w:val="0"/>
          <w:numId w:val="0"/>
        </w:numPr>
        <w:autoSpaceDE w:val="0"/>
        <w:autoSpaceDN w:val="0"/>
        <w:adjustRightInd w:val="0"/>
        <w:spacing w:line="360" w:lineRule="auto"/>
        <w:ind w:left="0" w:leftChars="0" w:firstLine="420" w:firstLineChars="0"/>
        <w:jc w:val="left"/>
        <w:rPr>
          <w:rFonts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（三）</w:t>
      </w:r>
      <w:r>
        <w:rPr>
          <w:rFonts w:hint="eastAsia" w:ascii="宋体" w:hAnsi="宋体" w:eastAsia="宋体" w:cs="宋体"/>
          <w:bCs/>
          <w:color w:val="auto"/>
          <w:sz w:val="24"/>
          <w:szCs w:val="24"/>
        </w:rPr>
        <w:t>如</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对个别食材材质有特殊要求的，中标人根据食材的加工情况、原材料损耗情况、市场实际情况等各因素对该食材进行报价，经</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与中标人确认后的食材价格作为基准价。</w:t>
      </w:r>
    </w:p>
    <w:p w14:paraId="2D673CEC">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（四）</w:t>
      </w:r>
      <w:r>
        <w:rPr>
          <w:rFonts w:hint="eastAsia" w:ascii="宋体" w:hAnsi="宋体" w:eastAsia="宋体" w:cs="宋体"/>
          <w:bCs/>
          <w:color w:val="auto"/>
          <w:sz w:val="24"/>
          <w:szCs w:val="24"/>
        </w:rPr>
        <w:t>报价要求：采用品种单价下浮率报价方式（小数点后保留两位小数），下浮率报价范围：0%≤下浮率≤100%，凡超出报价范围的投标报价均视为无效投标。投标报价包含产品价格、包装、运输、装卸、售后服务、保险、搬运费、税金等一切费用。</w:t>
      </w:r>
      <w:r>
        <w:rPr>
          <w:rFonts w:hint="eastAsia" w:ascii="宋体" w:hAnsi="宋体" w:eastAsia="宋体" w:cs="宋体"/>
          <w:bCs/>
          <w:color w:val="auto"/>
          <w:sz w:val="24"/>
          <w:szCs w:val="24"/>
          <w:lang w:val="en-US" w:eastAsia="zh-CN"/>
        </w:rPr>
        <w:t>中标</w:t>
      </w:r>
      <w:r>
        <w:rPr>
          <w:rFonts w:hint="eastAsia" w:ascii="宋体" w:hAnsi="宋体" w:eastAsia="宋体" w:cs="宋体"/>
          <w:bCs/>
          <w:color w:val="auto"/>
          <w:sz w:val="24"/>
          <w:szCs w:val="24"/>
        </w:rPr>
        <w:t>人必须负责货物的运输、质量检测等工作，所产生的费用由</w:t>
      </w:r>
      <w:r>
        <w:rPr>
          <w:rFonts w:hint="eastAsia" w:ascii="宋体" w:hAnsi="宋体" w:eastAsia="宋体" w:cs="宋体"/>
          <w:bCs/>
          <w:color w:val="auto"/>
          <w:sz w:val="24"/>
          <w:szCs w:val="24"/>
          <w:lang w:val="en-US" w:eastAsia="zh-CN"/>
        </w:rPr>
        <w:t>中标</w:t>
      </w:r>
      <w:r>
        <w:rPr>
          <w:rFonts w:hint="eastAsia" w:ascii="宋体" w:hAnsi="宋体" w:eastAsia="宋体" w:cs="宋体"/>
          <w:bCs/>
          <w:color w:val="auto"/>
          <w:sz w:val="24"/>
          <w:szCs w:val="24"/>
        </w:rPr>
        <w:t>人负责。</w:t>
      </w:r>
    </w:p>
    <w:p w14:paraId="181C0F76">
      <w:pPr>
        <w:numPr>
          <w:ilvl w:val="0"/>
          <w:numId w:val="0"/>
        </w:numPr>
        <w:tabs>
          <w:tab w:val="left" w:pos="420"/>
          <w:tab w:val="left" w:pos="540"/>
        </w:tabs>
        <w:autoSpaceDE w:val="0"/>
        <w:autoSpaceDN w:val="0"/>
        <w:adjustRightInd w:val="0"/>
        <w:snapToGrid w:val="0"/>
        <w:spacing w:line="360" w:lineRule="auto"/>
        <w:ind w:left="820" w:leftChars="0" w:hanging="720" w:firstLineChars="0"/>
        <w:jc w:val="left"/>
        <w:outlineLvl w:val="1"/>
        <w:rPr>
          <w:rFonts w:ascii="宋体" w:hAnsi="宋体" w:eastAsia="宋体" w:cs="宋体"/>
          <w:b/>
          <w:bCs/>
          <w:color w:val="auto"/>
          <w:kern w:val="0"/>
          <w:sz w:val="24"/>
          <w:szCs w:val="24"/>
        </w:rPr>
      </w:pPr>
      <w:r>
        <w:rPr>
          <w:rFonts w:hint="default" w:ascii="宋体" w:hAnsi="宋体" w:eastAsia="宋体" w:cs="宋体"/>
          <w:b/>
          <w:bCs/>
          <w:color w:val="auto"/>
          <w:kern w:val="0"/>
          <w:sz w:val="24"/>
          <w:szCs w:val="24"/>
          <w:lang w:val="en-US" w:eastAsia="zh-CN" w:bidi="ar-SA"/>
        </w:rPr>
        <w:t>九、</w:t>
      </w:r>
      <w:r>
        <w:rPr>
          <w:rFonts w:hint="eastAsia" w:ascii="宋体" w:hAnsi="宋体" w:eastAsia="宋体" w:cs="宋体"/>
          <w:b/>
          <w:bCs/>
          <w:color w:val="auto"/>
          <w:kern w:val="0"/>
          <w:sz w:val="24"/>
          <w:szCs w:val="24"/>
        </w:rPr>
        <w:t>结算方式</w:t>
      </w:r>
    </w:p>
    <w:p w14:paraId="76D6F6C1">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rPr>
        <w:t>按月结方式付款结算，供应完成后的下一个月上旬对上一个月的费用进行结算。</w:t>
      </w:r>
    </w:p>
    <w:p w14:paraId="51D60E3B">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rPr>
        <w:t>中标人按照</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每天验收的实际数量和约定的定价规则计算每月结算总额，双方就当月供应食材的品种、数量和金额核对无误后，由中标人开具相应金额的发票，</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在收到发票后十个工作日内向中标人付款。</w:t>
      </w:r>
    </w:p>
    <w:p w14:paraId="6074A63D">
      <w:pPr>
        <w:pStyle w:val="8"/>
        <w:numPr>
          <w:ilvl w:val="0"/>
          <w:numId w:val="0"/>
        </w:numPr>
        <w:tabs>
          <w:tab w:val="left" w:pos="993"/>
        </w:tabs>
        <w:autoSpaceDE w:val="0"/>
        <w:autoSpaceDN w:val="0"/>
        <w:adjustRightInd w:val="0"/>
        <w:spacing w:line="360" w:lineRule="auto"/>
        <w:ind w:left="720" w:leftChars="0" w:hanging="720" w:firstLineChars="0"/>
        <w:jc w:val="left"/>
        <w:rPr>
          <w:rFonts w:ascii="宋体" w:hAnsi="宋体" w:eastAsia="宋体" w:cs="仿宋"/>
          <w:b/>
          <w:bCs/>
          <w:color w:val="auto"/>
          <w:kern w:val="0"/>
          <w:sz w:val="24"/>
          <w:szCs w:val="24"/>
        </w:rPr>
      </w:pPr>
      <w:r>
        <w:rPr>
          <w:rFonts w:hint="default" w:ascii="宋体" w:hAnsi="宋体" w:eastAsia="宋体" w:cs="仿宋"/>
          <w:b/>
          <w:bCs/>
          <w:color w:val="auto"/>
          <w:kern w:val="0"/>
          <w:sz w:val="24"/>
          <w:szCs w:val="24"/>
          <w:lang w:val="en-US" w:eastAsia="zh-CN" w:bidi="ar-SA"/>
        </w:rPr>
        <w:t>十、</w:t>
      </w:r>
      <w:r>
        <w:rPr>
          <w:rFonts w:hint="eastAsia" w:ascii="宋体" w:hAnsi="宋体" w:eastAsia="宋体" w:cs="仿宋"/>
          <w:b/>
          <w:bCs/>
          <w:color w:val="auto"/>
          <w:kern w:val="0"/>
          <w:sz w:val="24"/>
          <w:szCs w:val="24"/>
        </w:rPr>
        <w:t>考核及退出机制</w:t>
      </w:r>
    </w:p>
    <w:p w14:paraId="5ABEE4B7">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（一）</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每两个月对中标</w:t>
      </w:r>
      <w:r>
        <w:rPr>
          <w:rFonts w:hint="eastAsia" w:ascii="宋体" w:hAnsi="宋体" w:eastAsia="宋体" w:cs="宋体"/>
          <w:bCs/>
          <w:color w:val="auto"/>
          <w:sz w:val="24"/>
          <w:szCs w:val="24"/>
          <w:lang w:val="en-US" w:eastAsia="zh-CN"/>
        </w:rPr>
        <w:t>人</w:t>
      </w:r>
      <w:r>
        <w:rPr>
          <w:rFonts w:hint="eastAsia" w:ascii="宋体" w:hAnsi="宋体" w:eastAsia="宋体" w:cs="宋体"/>
          <w:bCs/>
          <w:color w:val="auto"/>
          <w:sz w:val="24"/>
          <w:szCs w:val="24"/>
        </w:rPr>
        <w:t>履行合同情况进行一次考核（详见《供应商考核评分表》）。考核人员为</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根据内部管理制度成立的考核小组成员组成。考核内容包括配送及时性、价格合理性、品质可靠性、服务主动性、票证完整性，考核结果设“满意”“基本满意”“不满意”三个等次。一年内，考核结果“不满意”累计达到3次或连续出现2次时，</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可单方面解除合同；考核结果“满意”不足2次或“基本满意”</w:t>
      </w:r>
      <w:r>
        <w:rPr>
          <w:rFonts w:hint="eastAsia" w:ascii="宋体" w:hAnsi="宋体" w:eastAsia="宋体" w:cs="宋体"/>
          <w:bCs/>
          <w:color w:val="auto"/>
          <w:sz w:val="24"/>
          <w:szCs w:val="24"/>
          <w:lang w:val="en-US" w:eastAsia="zh-CN"/>
        </w:rPr>
        <w:t>及</w:t>
      </w:r>
      <w:r>
        <w:rPr>
          <w:rFonts w:hint="eastAsia" w:ascii="宋体" w:hAnsi="宋体" w:eastAsia="宋体" w:cs="宋体"/>
          <w:bCs/>
          <w:color w:val="auto"/>
          <w:sz w:val="24"/>
          <w:szCs w:val="24"/>
        </w:rPr>
        <w:t>以上不足4次时，不再续签次年合同；由此产生的一切损失和费用由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承担。</w:t>
      </w:r>
    </w:p>
    <w:p w14:paraId="79DD1598">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（二）</w:t>
      </w:r>
      <w:r>
        <w:rPr>
          <w:rFonts w:hint="eastAsia" w:ascii="宋体" w:hAnsi="宋体" w:eastAsia="宋体" w:cs="宋体"/>
          <w:bCs/>
          <w:color w:val="auto"/>
          <w:sz w:val="24"/>
          <w:szCs w:val="24"/>
        </w:rPr>
        <w:t>考核得分在80分以下时，</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提出整改意见，中标</w:t>
      </w:r>
      <w:r>
        <w:rPr>
          <w:rFonts w:hint="eastAsia" w:ascii="宋体" w:hAnsi="宋体" w:eastAsia="宋体" w:cs="宋体"/>
          <w:bCs/>
          <w:color w:val="auto"/>
          <w:sz w:val="24"/>
          <w:szCs w:val="24"/>
          <w:lang w:val="en-US" w:eastAsia="zh-CN"/>
        </w:rPr>
        <w:t>人</w:t>
      </w:r>
      <w:r>
        <w:rPr>
          <w:rFonts w:hint="eastAsia" w:ascii="宋体" w:hAnsi="宋体" w:eastAsia="宋体" w:cs="宋体"/>
          <w:bCs/>
          <w:color w:val="auto"/>
          <w:sz w:val="24"/>
          <w:szCs w:val="24"/>
        </w:rPr>
        <w:t>须根据</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的整改意见进行整改，提供整改报告；考核得分低于60分时，</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有权对</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进行扣罚，扣罚费用为当月应付款项3%以内。</w:t>
      </w:r>
    </w:p>
    <w:p w14:paraId="56BFA64A">
      <w:pPr>
        <w:numPr>
          <w:ilvl w:val="0"/>
          <w:numId w:val="0"/>
        </w:numPr>
        <w:autoSpaceDE w:val="0"/>
        <w:autoSpaceDN w:val="0"/>
        <w:adjustRightInd w:val="0"/>
        <w:spacing w:line="360" w:lineRule="auto"/>
        <w:ind w:left="0" w:leftChars="0" w:firstLine="42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）考核标准详见下表：</w:t>
      </w:r>
    </w:p>
    <w:tbl>
      <w:tblPr>
        <w:tblStyle w:val="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295"/>
        <w:gridCol w:w="966"/>
        <w:gridCol w:w="1608"/>
        <w:gridCol w:w="2420"/>
        <w:gridCol w:w="856"/>
        <w:gridCol w:w="650"/>
        <w:gridCol w:w="625"/>
      </w:tblGrid>
      <w:tr w14:paraId="4123C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5000" w:type="pct"/>
            <w:gridSpan w:val="7"/>
            <w:tcBorders>
              <w:top w:val="nil"/>
              <w:left w:val="nil"/>
              <w:bottom w:val="single" w:color="auto" w:sz="4" w:space="0"/>
              <w:right w:val="nil"/>
            </w:tcBorders>
            <w:noWrap w:val="0"/>
            <w:tcMar>
              <w:top w:w="0" w:type="dxa"/>
              <w:left w:w="57" w:type="dxa"/>
              <w:right w:w="57" w:type="dxa"/>
            </w:tcMar>
            <w:vAlign w:val="center"/>
          </w:tcPr>
          <w:p w14:paraId="1D3E0C3D">
            <w:pPr>
              <w:widowControl/>
              <w:topLinePunct/>
              <w:adjustRightInd w:val="0"/>
              <w:snapToGrid w:val="0"/>
              <w:spacing w:line="360" w:lineRule="auto"/>
              <w:jc w:val="center"/>
              <w:textAlignment w:val="baseline"/>
              <w:rPr>
                <w:rFonts w:hint="eastAsia" w:ascii="宋体" w:hAnsi="宋体" w:eastAsia="宋体" w:cs="宋体"/>
                <w:b/>
                <w:kern w:val="0"/>
                <w:szCs w:val="21"/>
              </w:rPr>
            </w:pPr>
            <w:r>
              <w:rPr>
                <w:rFonts w:hint="eastAsia" w:ascii="宋体" w:hAnsi="宋体" w:eastAsia="宋体" w:cs="宋体"/>
                <w:b/>
                <w:bCs/>
                <w:sz w:val="32"/>
                <w:szCs w:val="40"/>
                <w:lang w:eastAsia="zh-Hans"/>
              </w:rPr>
              <w:t>供应商考核评分表</w:t>
            </w:r>
          </w:p>
        </w:tc>
      </w:tr>
      <w:tr w14:paraId="4DE6B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794" w:type="pct"/>
            <w:tcBorders>
              <w:top w:val="single" w:color="auto" w:sz="4" w:space="0"/>
              <w:left w:val="single" w:color="auto" w:sz="4" w:space="0"/>
              <w:bottom w:val="single" w:color="auto" w:sz="4" w:space="0"/>
              <w:right w:val="single" w:color="auto" w:sz="4" w:space="0"/>
            </w:tcBorders>
            <w:noWrap w:val="0"/>
            <w:tcMar>
              <w:top w:w="0" w:type="dxa"/>
              <w:left w:w="108" w:type="dxa"/>
              <w:right w:w="108" w:type="dxa"/>
            </w:tcMar>
            <w:vAlign w:val="center"/>
          </w:tcPr>
          <w:p w14:paraId="50FABFBF">
            <w:pPr>
              <w:pStyle w:val="4"/>
              <w:widowControl/>
              <w:tabs>
                <w:tab w:val="left" w:pos="540"/>
              </w:tabs>
              <w:topLinePunct/>
              <w:adjustRightInd w:val="0"/>
              <w:snapToGrid w:val="0"/>
              <w:spacing w:line="360" w:lineRule="auto"/>
              <w:ind w:left="0" w:leftChars="0" w:firstLine="0" w:firstLineChars="0"/>
              <w:jc w:val="both"/>
              <w:textAlignment w:val="baseline"/>
              <w:outlineLvl w:val="1"/>
              <w:rPr>
                <w:rFonts w:hint="eastAsia" w:ascii="宋体" w:hAnsi="宋体" w:eastAsia="宋体" w:cs="宋体"/>
                <w:kern w:val="0"/>
                <w:szCs w:val="21"/>
              </w:rPr>
            </w:pPr>
            <w:r>
              <w:rPr>
                <w:rFonts w:hint="eastAsia" w:ascii="宋体" w:hAnsi="宋体" w:eastAsia="宋体" w:cs="宋体"/>
                <w:kern w:val="0"/>
                <w:szCs w:val="21"/>
              </w:rPr>
              <w:t>考核内容</w:t>
            </w:r>
          </w:p>
        </w:tc>
        <w:tc>
          <w:tcPr>
            <w:tcW w:w="424" w:type="pct"/>
            <w:tcBorders>
              <w:top w:val="single" w:color="auto" w:sz="4" w:space="0"/>
              <w:left w:val="single" w:color="auto" w:sz="4" w:space="0"/>
              <w:bottom w:val="single" w:color="auto" w:sz="4" w:space="0"/>
              <w:right w:val="single" w:color="auto" w:sz="4" w:space="0"/>
            </w:tcBorders>
            <w:noWrap w:val="0"/>
            <w:tcMar>
              <w:top w:w="0" w:type="dxa"/>
              <w:left w:w="108" w:type="dxa"/>
              <w:right w:w="108" w:type="dxa"/>
            </w:tcMar>
            <w:vAlign w:val="center"/>
          </w:tcPr>
          <w:p w14:paraId="046F073B">
            <w:pPr>
              <w:pStyle w:val="4"/>
              <w:widowControl/>
              <w:tabs>
                <w:tab w:val="left" w:pos="540"/>
              </w:tabs>
              <w:topLinePunct/>
              <w:adjustRightInd w:val="0"/>
              <w:snapToGrid w:val="0"/>
              <w:spacing w:line="360" w:lineRule="auto"/>
              <w:ind w:left="0" w:leftChars="0" w:firstLine="0" w:firstLineChars="0"/>
              <w:jc w:val="both"/>
              <w:textAlignment w:val="baseline"/>
              <w:outlineLvl w:val="1"/>
              <w:rPr>
                <w:rFonts w:hint="eastAsia" w:ascii="宋体" w:hAnsi="宋体" w:eastAsia="宋体" w:cs="宋体"/>
                <w:kern w:val="0"/>
                <w:szCs w:val="21"/>
              </w:rPr>
            </w:pPr>
            <w:r>
              <w:rPr>
                <w:rFonts w:hint="eastAsia" w:ascii="宋体" w:hAnsi="宋体" w:eastAsia="宋体" w:cs="宋体"/>
                <w:kern w:val="0"/>
                <w:szCs w:val="21"/>
              </w:rPr>
              <w:t>分值</w:t>
            </w:r>
          </w:p>
        </w:tc>
        <w:tc>
          <w:tcPr>
            <w:tcW w:w="2975" w:type="pct"/>
            <w:gridSpan w:val="3"/>
            <w:tcBorders>
              <w:top w:val="single" w:color="auto" w:sz="4" w:space="0"/>
              <w:left w:val="single" w:color="auto" w:sz="4" w:space="0"/>
              <w:bottom w:val="single" w:color="auto" w:sz="4" w:space="0"/>
              <w:right w:val="single" w:color="auto" w:sz="4" w:space="0"/>
            </w:tcBorders>
            <w:noWrap w:val="0"/>
            <w:tcMar>
              <w:top w:w="0" w:type="dxa"/>
              <w:left w:w="108" w:type="dxa"/>
              <w:right w:w="108" w:type="dxa"/>
            </w:tcMar>
            <w:vAlign w:val="center"/>
          </w:tcPr>
          <w:p w14:paraId="69E57918">
            <w:pPr>
              <w:pStyle w:val="4"/>
              <w:widowControl/>
              <w:tabs>
                <w:tab w:val="left" w:pos="540"/>
              </w:tabs>
              <w:topLinePunct/>
              <w:adjustRightInd w:val="0"/>
              <w:snapToGrid w:val="0"/>
              <w:spacing w:line="360" w:lineRule="auto"/>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考核发现的问题及扣分办法</w:t>
            </w:r>
          </w:p>
        </w:tc>
        <w:tc>
          <w:tcPr>
            <w:tcW w:w="411" w:type="pct"/>
            <w:tcBorders>
              <w:top w:val="single" w:color="auto" w:sz="4" w:space="0"/>
              <w:left w:val="single" w:color="auto" w:sz="4" w:space="0"/>
              <w:bottom w:val="single" w:color="auto" w:sz="4" w:space="0"/>
              <w:right w:val="single" w:color="auto" w:sz="4" w:space="0"/>
            </w:tcBorders>
            <w:noWrap w:val="0"/>
            <w:tcMar>
              <w:top w:w="0" w:type="dxa"/>
              <w:left w:w="108" w:type="dxa"/>
              <w:right w:w="108" w:type="dxa"/>
            </w:tcMar>
            <w:vAlign w:val="center"/>
          </w:tcPr>
          <w:p w14:paraId="081CC849">
            <w:pPr>
              <w:pStyle w:val="4"/>
              <w:widowControl/>
              <w:tabs>
                <w:tab w:val="left" w:pos="540"/>
              </w:tabs>
              <w:topLinePunct/>
              <w:adjustRightInd w:val="0"/>
              <w:snapToGrid w:val="0"/>
              <w:spacing w:line="360" w:lineRule="auto"/>
              <w:ind w:left="0" w:leftChars="0" w:firstLine="0" w:firstLineChars="0"/>
              <w:jc w:val="both"/>
              <w:textAlignment w:val="baseline"/>
              <w:outlineLvl w:val="1"/>
              <w:rPr>
                <w:rFonts w:hint="eastAsia" w:ascii="宋体" w:hAnsi="宋体" w:eastAsia="宋体" w:cs="宋体"/>
                <w:kern w:val="0"/>
                <w:szCs w:val="21"/>
              </w:rPr>
            </w:pPr>
            <w:r>
              <w:rPr>
                <w:rFonts w:hint="eastAsia" w:ascii="宋体" w:hAnsi="宋体" w:eastAsia="宋体" w:cs="宋体"/>
                <w:kern w:val="0"/>
                <w:szCs w:val="21"/>
              </w:rPr>
              <w:t>计分</w:t>
            </w:r>
          </w:p>
        </w:tc>
        <w:tc>
          <w:tcPr>
            <w:tcW w:w="396" w:type="pct"/>
            <w:tcBorders>
              <w:top w:val="single" w:color="auto" w:sz="4" w:space="0"/>
              <w:left w:val="single" w:color="auto" w:sz="4" w:space="0"/>
              <w:bottom w:val="single" w:color="auto" w:sz="4" w:space="0"/>
              <w:right w:val="single" w:color="auto" w:sz="4" w:space="0"/>
            </w:tcBorders>
            <w:noWrap w:val="0"/>
            <w:tcMar>
              <w:top w:w="0" w:type="dxa"/>
              <w:left w:w="108" w:type="dxa"/>
              <w:right w:w="108" w:type="dxa"/>
            </w:tcMar>
            <w:vAlign w:val="center"/>
          </w:tcPr>
          <w:p w14:paraId="63C89362">
            <w:pPr>
              <w:pStyle w:val="4"/>
              <w:widowControl/>
              <w:tabs>
                <w:tab w:val="left" w:pos="540"/>
              </w:tabs>
              <w:topLinePunct/>
              <w:adjustRightInd w:val="0"/>
              <w:snapToGrid w:val="0"/>
              <w:spacing w:line="360" w:lineRule="auto"/>
              <w:ind w:left="0" w:leftChars="0" w:firstLine="0" w:firstLineChars="0"/>
              <w:jc w:val="both"/>
              <w:textAlignment w:val="baseline"/>
              <w:outlineLvl w:val="1"/>
              <w:rPr>
                <w:rFonts w:hint="eastAsia" w:ascii="宋体" w:hAnsi="宋体" w:eastAsia="宋体" w:cs="宋体"/>
                <w:kern w:val="0"/>
                <w:szCs w:val="21"/>
              </w:rPr>
            </w:pPr>
            <w:r>
              <w:rPr>
                <w:rFonts w:hint="eastAsia" w:ascii="宋体" w:hAnsi="宋体" w:eastAsia="宋体" w:cs="宋体"/>
                <w:kern w:val="0"/>
                <w:szCs w:val="21"/>
              </w:rPr>
              <w:t>得分</w:t>
            </w:r>
          </w:p>
        </w:tc>
      </w:tr>
      <w:tr w14:paraId="7776B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restart"/>
            <w:tcBorders>
              <w:top w:val="single" w:color="auto" w:sz="4" w:space="0"/>
              <w:left w:val="single" w:color="000000" w:sz="6" w:space="0"/>
              <w:right w:val="single" w:color="000000" w:sz="6" w:space="0"/>
            </w:tcBorders>
            <w:noWrap w:val="0"/>
            <w:tcMar>
              <w:top w:w="0" w:type="dxa"/>
              <w:left w:w="108" w:type="dxa"/>
              <w:right w:w="108" w:type="dxa"/>
            </w:tcMar>
            <w:vAlign w:val="center"/>
          </w:tcPr>
          <w:p w14:paraId="7ECD019E">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服务质量</w:t>
            </w:r>
          </w:p>
        </w:tc>
        <w:tc>
          <w:tcPr>
            <w:tcW w:w="424" w:type="pct"/>
            <w:vMerge w:val="restart"/>
            <w:tcBorders>
              <w:top w:val="single" w:color="auto" w:sz="4" w:space="0"/>
              <w:left w:val="single" w:color="000000" w:sz="6" w:space="0"/>
              <w:right w:val="single" w:color="000000" w:sz="6" w:space="0"/>
            </w:tcBorders>
            <w:noWrap w:val="0"/>
            <w:tcMar>
              <w:top w:w="0" w:type="dxa"/>
              <w:left w:w="108" w:type="dxa"/>
              <w:right w:w="108" w:type="dxa"/>
            </w:tcMar>
            <w:vAlign w:val="center"/>
          </w:tcPr>
          <w:p w14:paraId="14AE41AF">
            <w:pPr>
              <w:pStyle w:val="4"/>
              <w:widowControl/>
              <w:topLinePunct/>
              <w:adjustRightInd w:val="0"/>
              <w:snapToGrid w:val="0"/>
              <w:spacing w:line="360" w:lineRule="auto"/>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20</w:t>
            </w:r>
          </w:p>
        </w:tc>
        <w:tc>
          <w:tcPr>
            <w:tcW w:w="2975" w:type="pct"/>
            <w:gridSpan w:val="3"/>
            <w:tcBorders>
              <w:top w:val="single" w:color="auto" w:sz="4" w:space="0"/>
              <w:left w:val="single" w:color="000000" w:sz="6" w:space="0"/>
              <w:bottom w:val="single" w:color="000000" w:sz="6" w:space="0"/>
              <w:right w:val="single" w:color="000000" w:sz="6" w:space="0"/>
            </w:tcBorders>
            <w:noWrap w:val="0"/>
            <w:tcMar>
              <w:top w:w="0" w:type="dxa"/>
              <w:left w:w="108" w:type="dxa"/>
              <w:right w:w="108" w:type="dxa"/>
            </w:tcMar>
            <w:vAlign w:val="center"/>
          </w:tcPr>
          <w:p w14:paraId="2A785865">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除不可抗力外，无故延误配送时间，扣3分。</w:t>
            </w:r>
          </w:p>
        </w:tc>
        <w:tc>
          <w:tcPr>
            <w:tcW w:w="411" w:type="pct"/>
            <w:tcBorders>
              <w:top w:val="single" w:color="auto" w:sz="4" w:space="0"/>
              <w:left w:val="single" w:color="000000" w:sz="6" w:space="0"/>
              <w:bottom w:val="single" w:color="000000" w:sz="6" w:space="0"/>
              <w:right w:val="single" w:color="000000" w:sz="6" w:space="0"/>
            </w:tcBorders>
            <w:noWrap w:val="0"/>
            <w:tcMar>
              <w:top w:w="0" w:type="dxa"/>
              <w:left w:w="108" w:type="dxa"/>
              <w:right w:w="108" w:type="dxa"/>
            </w:tcMar>
            <w:vAlign w:val="center"/>
          </w:tcPr>
          <w:p w14:paraId="69C85C43">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restart"/>
            <w:tcBorders>
              <w:top w:val="single" w:color="auto" w:sz="4" w:space="0"/>
              <w:left w:val="single" w:color="000000" w:sz="6" w:space="0"/>
              <w:right w:val="single" w:color="000000" w:sz="6" w:space="0"/>
            </w:tcBorders>
            <w:noWrap w:val="0"/>
            <w:tcMar>
              <w:top w:w="0" w:type="dxa"/>
              <w:left w:w="108" w:type="dxa"/>
              <w:right w:w="108" w:type="dxa"/>
            </w:tcMar>
            <w:vAlign w:val="center"/>
          </w:tcPr>
          <w:p w14:paraId="2BEB63CA">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p w14:paraId="36161786">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401BE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213E3FD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4313C72D">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3C5ACB3">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未按甲方提出的食材品类、数量配送，扣2分。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12B023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3A98EA3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083CB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5DDBEADF">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470C243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EA10582">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有应急配送需求时，未在指定时间前配送到位，扣2分。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6B7660F">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4CBC0076">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7AFF4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535F7B2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7AF72B8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07B4661">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报价未执行广州市发改委菜篮子米袋子价格栏目公布的平均零售基准价和投标</w:t>
            </w:r>
            <w:r>
              <w:rPr>
                <w:rFonts w:hint="eastAsia" w:ascii="宋体" w:hAnsi="宋体" w:eastAsia="宋体" w:cs="宋体"/>
                <w:kern w:val="0"/>
                <w:szCs w:val="21"/>
                <w:lang w:val="en-US" w:eastAsia="zh-CN"/>
              </w:rPr>
              <w:t>单价下浮</w:t>
            </w:r>
            <w:r>
              <w:rPr>
                <w:rFonts w:hint="eastAsia" w:ascii="宋体" w:hAnsi="宋体" w:eastAsia="宋体" w:cs="宋体"/>
                <w:kern w:val="0"/>
                <w:szCs w:val="21"/>
              </w:rPr>
              <w:t>率，扣2分。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EBB49DB">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2E77999B">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69B1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01DDB695">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03A3E96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CF7536C">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广州市发改委菜篮子米袋子价格栏目公布品类以外食材的报价超出周边市场零售价和</w:t>
            </w:r>
            <w:r>
              <w:rPr>
                <w:rFonts w:hint="eastAsia" w:ascii="宋体" w:hAnsi="宋体" w:eastAsia="宋体" w:cs="宋体"/>
                <w:kern w:val="0"/>
                <w:szCs w:val="21"/>
                <w:lang w:val="en-US" w:eastAsia="zh-CN"/>
              </w:rPr>
              <w:t>单价下浮</w:t>
            </w:r>
            <w:r>
              <w:rPr>
                <w:rFonts w:hint="eastAsia" w:ascii="宋体" w:hAnsi="宋体" w:eastAsia="宋体" w:cs="宋体"/>
                <w:kern w:val="0"/>
                <w:szCs w:val="21"/>
              </w:rPr>
              <w:t>率，扣2分。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DFD0B6F">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946C22D">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2EFAD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37677B03">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0F296F30">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2FDD7F9A">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不按合同明确的定价周期和日期提供报价，扣2分。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2E2CB256">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61A48B2">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1BA27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394B156E">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24844D0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A476C64">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对甲方反映的问题不及时处理，造成工作被动的，扣2分。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83C4D6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70DD1EBC">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140CD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453890A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337DD41E">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DB93464">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主动上门听取甲方意见建议，并有改进提高实际效果的，每次加1分。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CF0BE5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42A96C5A">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436F6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004DFA72">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7D28B0E0">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3A2F8A4">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在原材料使用及确保品质、安全方面向甲方提出合理化建议意见，并被甲方采纳的，每条加1分。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8FA2B37">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157E86F0">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4D9E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right w:val="single" w:color="000000" w:sz="6" w:space="0"/>
            </w:tcBorders>
            <w:noWrap w:val="0"/>
            <w:tcMar>
              <w:top w:w="0" w:type="dxa"/>
              <w:left w:w="108" w:type="dxa"/>
              <w:right w:w="108" w:type="dxa"/>
            </w:tcMar>
            <w:vAlign w:val="center"/>
          </w:tcPr>
          <w:p w14:paraId="40128B22">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right w:val="single" w:color="000000" w:sz="6" w:space="0"/>
            </w:tcBorders>
            <w:noWrap w:val="0"/>
            <w:tcMar>
              <w:top w:w="0" w:type="dxa"/>
              <w:left w:w="108" w:type="dxa"/>
              <w:right w:w="108" w:type="dxa"/>
            </w:tcMar>
            <w:vAlign w:val="center"/>
          </w:tcPr>
          <w:p w14:paraId="07EBA03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5873C70">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未提供食材的货物来源、供货清单、检验合格证明，扣3分。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345106E">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157CD2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5C847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left w:val="single" w:color="000000" w:sz="6" w:space="0"/>
              <w:bottom w:val="single" w:color="000000" w:sz="6" w:space="0"/>
              <w:right w:val="single" w:color="000000" w:sz="6" w:space="0"/>
            </w:tcBorders>
            <w:noWrap w:val="0"/>
            <w:tcMar>
              <w:top w:w="0" w:type="dxa"/>
              <w:left w:w="108" w:type="dxa"/>
              <w:right w:w="108" w:type="dxa"/>
            </w:tcMar>
            <w:vAlign w:val="center"/>
          </w:tcPr>
          <w:p w14:paraId="26F55C2B">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left w:val="single" w:color="000000" w:sz="6" w:space="0"/>
              <w:bottom w:val="single" w:color="000000" w:sz="6" w:space="0"/>
              <w:right w:val="single" w:color="000000" w:sz="6" w:space="0"/>
            </w:tcBorders>
            <w:noWrap w:val="0"/>
            <w:tcMar>
              <w:top w:w="0" w:type="dxa"/>
              <w:left w:w="108" w:type="dxa"/>
              <w:right w:w="108" w:type="dxa"/>
            </w:tcMar>
            <w:vAlign w:val="center"/>
          </w:tcPr>
          <w:p w14:paraId="550CB75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CA4595D">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提供虚假、过期证照和票据，扣2分。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2A0270EB">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bottom w:val="single" w:color="000000" w:sz="6" w:space="0"/>
              <w:right w:val="single" w:color="000000" w:sz="6" w:space="0"/>
            </w:tcBorders>
            <w:noWrap w:val="0"/>
            <w:tcMar>
              <w:top w:w="0" w:type="dxa"/>
              <w:left w:w="108" w:type="dxa"/>
              <w:right w:w="108" w:type="dxa"/>
            </w:tcMar>
            <w:vAlign w:val="center"/>
          </w:tcPr>
          <w:p w14:paraId="25AC622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03446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restar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39E404E">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品质可靠性</w:t>
            </w:r>
          </w:p>
        </w:tc>
        <w:tc>
          <w:tcPr>
            <w:tcW w:w="424" w:type="pct"/>
            <w:vMerge w:val="restar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FD24DE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r>
              <w:rPr>
                <w:rFonts w:hint="eastAsia" w:ascii="宋体" w:hAnsi="宋体" w:eastAsia="宋体" w:cs="宋体"/>
                <w:kern w:val="0"/>
                <w:szCs w:val="21"/>
              </w:rPr>
              <w:t>80</w:t>
            </w: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9143F13">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发现提供来源不明或假冒伪劣、以次充好食材，扣10分。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CA149C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restart"/>
            <w:tcBorders>
              <w:top w:val="single" w:color="000000" w:sz="6" w:space="0"/>
              <w:left w:val="single" w:color="000000" w:sz="6" w:space="0"/>
              <w:right w:val="single" w:color="000000" w:sz="6" w:space="0"/>
            </w:tcBorders>
            <w:noWrap w:val="0"/>
            <w:tcMar>
              <w:top w:w="0" w:type="dxa"/>
              <w:left w:w="108" w:type="dxa"/>
              <w:right w:w="108" w:type="dxa"/>
            </w:tcMar>
            <w:vAlign w:val="center"/>
          </w:tcPr>
          <w:p w14:paraId="738CA23A">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p w14:paraId="56E90D73">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1C09B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8ACD564">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0DB5FCEE">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2C62572">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发现提供过期、变质、发霉食材，扣10分。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1E9358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2FAAE56">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222E9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C1AB5D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EB793E3">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0720EA9">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配送车辆、运输容器、食品包装不符合相关规定，扣5分。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4E3EAD9">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4675CD7">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5DBE6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60A6541">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1595B51">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DA50B69">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发现提供食材不新鲜，每品项扣5分，总分25分，扣完为止。</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762425C">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07193D87">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52733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9BE38BF">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6525CAB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213582E">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被甲方把关的不合格食材没有无条件及时退换货，扣10分。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D9D1420">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791A2CEC">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1A8F6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0085D988">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43B56640">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118C532">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因食材质量问题导致用餐人员餐后出现不适，扣20分。</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4410492">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right w:val="single" w:color="000000" w:sz="6" w:space="0"/>
            </w:tcBorders>
            <w:noWrap w:val="0"/>
            <w:tcMar>
              <w:top w:w="0" w:type="dxa"/>
              <w:left w:w="108" w:type="dxa"/>
              <w:right w:w="108" w:type="dxa"/>
            </w:tcMar>
            <w:vAlign w:val="center"/>
          </w:tcPr>
          <w:p w14:paraId="69637C4F">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25811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9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57573A4B">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424" w:type="pct"/>
            <w:vMerge w:val="continue"/>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12D232A7">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2975"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28BBE3E9">
            <w:pPr>
              <w:pStyle w:val="4"/>
              <w:widowControl/>
              <w:tabs>
                <w:tab w:val="left" w:pos="540"/>
              </w:tabs>
              <w:topLinePunct/>
              <w:adjustRightInd w:val="0"/>
              <w:snapToGrid w:val="0"/>
              <w:spacing w:line="360" w:lineRule="auto"/>
              <w:ind w:left="0" w:leftChars="0" w:firstLine="0" w:firstLineChars="0"/>
              <w:textAlignment w:val="baseline"/>
              <w:outlineLvl w:val="1"/>
              <w:rPr>
                <w:rFonts w:hint="eastAsia" w:ascii="宋体" w:hAnsi="宋体" w:eastAsia="宋体" w:cs="宋体"/>
                <w:kern w:val="0"/>
                <w:szCs w:val="21"/>
              </w:rPr>
            </w:pPr>
            <w:r>
              <w:rPr>
                <w:rFonts w:hint="eastAsia" w:ascii="宋体" w:hAnsi="宋体" w:eastAsia="宋体" w:cs="宋体"/>
                <w:kern w:val="0"/>
                <w:szCs w:val="21"/>
              </w:rPr>
              <w:t>因食材质量问题导致发生食物中毒事件，</w:t>
            </w:r>
            <w:r>
              <w:rPr>
                <w:rFonts w:hint="eastAsia" w:ascii="宋体" w:hAnsi="宋体" w:eastAsia="宋体" w:cs="宋体"/>
                <w:kern w:val="0"/>
                <w:szCs w:val="21"/>
                <w:lang w:val="en-US" w:eastAsia="zh-CN"/>
              </w:rPr>
              <w:t>甲方</w:t>
            </w:r>
            <w:r>
              <w:rPr>
                <w:rFonts w:hint="eastAsia" w:ascii="宋体" w:hAnsi="宋体" w:eastAsia="宋体" w:cs="宋体"/>
                <w:kern w:val="0"/>
                <w:szCs w:val="21"/>
              </w:rPr>
              <w:t>有权单方面解除合同，</w:t>
            </w:r>
            <w:r>
              <w:rPr>
                <w:rFonts w:hint="eastAsia" w:ascii="宋体" w:hAnsi="宋体" w:eastAsia="宋体" w:cs="宋体"/>
                <w:kern w:val="0"/>
                <w:szCs w:val="21"/>
                <w:lang w:val="en-US" w:eastAsia="zh-CN"/>
              </w:rPr>
              <w:t>乙方</w:t>
            </w:r>
            <w:r>
              <w:rPr>
                <w:rFonts w:hint="eastAsia" w:ascii="宋体" w:hAnsi="宋体" w:eastAsia="宋体" w:cs="宋体"/>
                <w:kern w:val="0"/>
                <w:szCs w:val="21"/>
              </w:rPr>
              <w:t>应无条件服务，并承担一切损失或赔偿责任。</w:t>
            </w:r>
          </w:p>
        </w:tc>
        <w:tc>
          <w:tcPr>
            <w:tcW w:w="411"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5942123">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c>
          <w:tcPr>
            <w:tcW w:w="396" w:type="pct"/>
            <w:vMerge w:val="continue"/>
            <w:tcBorders>
              <w:left w:val="single" w:color="000000" w:sz="6" w:space="0"/>
              <w:bottom w:val="single" w:color="000000" w:sz="6" w:space="0"/>
              <w:right w:val="single" w:color="000000" w:sz="6" w:space="0"/>
            </w:tcBorders>
            <w:noWrap w:val="0"/>
            <w:tcMar>
              <w:top w:w="0" w:type="dxa"/>
              <w:left w:w="108" w:type="dxa"/>
              <w:right w:w="108" w:type="dxa"/>
            </w:tcMar>
            <w:vAlign w:val="center"/>
          </w:tcPr>
          <w:p w14:paraId="5DD2BC11">
            <w:pPr>
              <w:pStyle w:val="4"/>
              <w:widowControl/>
              <w:tabs>
                <w:tab w:val="left" w:pos="540"/>
              </w:tabs>
              <w:topLinePunct/>
              <w:adjustRightInd w:val="0"/>
              <w:snapToGrid w:val="0"/>
              <w:spacing w:line="360" w:lineRule="auto"/>
              <w:textAlignment w:val="baseline"/>
              <w:outlineLvl w:val="1"/>
              <w:rPr>
                <w:rFonts w:hint="eastAsia" w:ascii="宋体" w:hAnsi="宋体" w:eastAsia="宋体" w:cs="宋体"/>
                <w:kern w:val="0"/>
                <w:szCs w:val="21"/>
              </w:rPr>
            </w:pPr>
          </w:p>
        </w:tc>
      </w:tr>
      <w:tr w14:paraId="18833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trPr>
        <w:tc>
          <w:tcPr>
            <w:tcW w:w="794"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287BE4F">
            <w:pPr>
              <w:pStyle w:val="4"/>
              <w:widowControl/>
              <w:tabs>
                <w:tab w:val="left" w:pos="540"/>
              </w:tabs>
              <w:topLinePunct/>
              <w:adjustRightInd w:val="0"/>
              <w:snapToGrid w:val="0"/>
              <w:spacing w:line="360" w:lineRule="auto"/>
              <w:ind w:left="0" w:leftChars="0" w:firstLine="0" w:firstLineChars="0"/>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考评结果</w:t>
            </w:r>
          </w:p>
        </w:tc>
        <w:tc>
          <w:tcPr>
            <w:tcW w:w="1404"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709931B2">
            <w:pPr>
              <w:pStyle w:val="4"/>
              <w:widowControl/>
              <w:tabs>
                <w:tab w:val="left" w:pos="540"/>
              </w:tabs>
              <w:topLinePunct/>
              <w:adjustRightInd w:val="0"/>
              <w:snapToGrid w:val="0"/>
              <w:spacing w:line="360" w:lineRule="auto"/>
              <w:ind w:left="0" w:leftChars="0" w:firstLine="0" w:firstLineChars="0"/>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满意（80-100分）</w:t>
            </w:r>
          </w:p>
        </w:tc>
        <w:tc>
          <w:tcPr>
            <w:tcW w:w="1462" w:type="pct"/>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6701F96">
            <w:pPr>
              <w:pStyle w:val="4"/>
              <w:widowControl/>
              <w:tabs>
                <w:tab w:val="left" w:pos="540"/>
              </w:tabs>
              <w:topLinePunct/>
              <w:adjustRightInd w:val="0"/>
              <w:snapToGrid w:val="0"/>
              <w:spacing w:line="360" w:lineRule="auto"/>
              <w:ind w:left="0" w:leftChars="0" w:firstLine="0" w:firstLineChars="0"/>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基本满意（60-79分）</w:t>
            </w:r>
          </w:p>
        </w:tc>
        <w:tc>
          <w:tcPr>
            <w:tcW w:w="1340" w:type="pct"/>
            <w:gridSpan w:val="3"/>
            <w:tcBorders>
              <w:top w:val="single" w:color="000000" w:sz="6" w:space="0"/>
              <w:left w:val="single" w:color="000000" w:sz="6" w:space="0"/>
              <w:bottom w:val="single" w:color="000000" w:sz="6" w:space="0"/>
              <w:right w:val="single" w:color="000000" w:sz="6" w:space="0"/>
            </w:tcBorders>
            <w:noWrap w:val="0"/>
            <w:tcMar>
              <w:top w:w="0" w:type="dxa"/>
              <w:left w:w="108" w:type="dxa"/>
              <w:right w:w="108" w:type="dxa"/>
            </w:tcMar>
            <w:vAlign w:val="center"/>
          </w:tcPr>
          <w:p w14:paraId="30D86264">
            <w:pPr>
              <w:pStyle w:val="4"/>
              <w:widowControl/>
              <w:tabs>
                <w:tab w:val="left" w:pos="540"/>
              </w:tabs>
              <w:topLinePunct/>
              <w:adjustRightInd w:val="0"/>
              <w:snapToGrid w:val="0"/>
              <w:spacing w:line="360" w:lineRule="auto"/>
              <w:ind w:left="0" w:leftChars="0" w:firstLine="0" w:firstLineChars="0"/>
              <w:jc w:val="center"/>
              <w:textAlignment w:val="baseline"/>
              <w:outlineLvl w:val="1"/>
              <w:rPr>
                <w:rFonts w:hint="eastAsia" w:ascii="宋体" w:hAnsi="宋体" w:eastAsia="宋体" w:cs="宋体"/>
                <w:kern w:val="0"/>
                <w:szCs w:val="21"/>
              </w:rPr>
            </w:pPr>
            <w:r>
              <w:rPr>
                <w:rFonts w:hint="eastAsia" w:ascii="宋体" w:hAnsi="宋体" w:eastAsia="宋体" w:cs="宋体"/>
                <w:kern w:val="0"/>
                <w:szCs w:val="21"/>
              </w:rPr>
              <w:t>不满意（59分以下）</w:t>
            </w:r>
          </w:p>
        </w:tc>
      </w:tr>
    </w:tbl>
    <w:p w14:paraId="34A0B5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25DCF"/>
    <w:rsid w:val="7924091C"/>
    <w:rsid w:val="7D77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Plain Text"/>
    <w:qFormat/>
    <w:uiPriority w:val="0"/>
    <w:pPr>
      <w:widowControl w:val="0"/>
      <w:spacing w:line="360" w:lineRule="auto"/>
      <w:ind w:firstLine="510"/>
      <w:jc w:val="both"/>
    </w:pPr>
    <w:rPr>
      <w:rFonts w:ascii="宋体" w:hAnsi="Courier New" w:eastAsia="宋体" w:cs="Times New Roman"/>
      <w:kern w:val="2"/>
      <w:sz w:val="24"/>
      <w:szCs w:val="20"/>
      <w:lang w:val="en-US" w:eastAsia="zh-CN" w:bidi="ar-SA"/>
    </w:rPr>
  </w:style>
  <w:style w:type="character" w:styleId="7">
    <w:name w:val="Hyperlink"/>
    <w:qFormat/>
    <w:uiPriority w:val="0"/>
    <w:rPr>
      <w:rFonts w:ascii="黑体" w:hAnsi="宋体" w:eastAsia="黑体" w:cs="黑体"/>
      <w:color w:val="000000"/>
      <w:u w:val="none"/>
    </w:rPr>
  </w:style>
  <w:style w:type="paragraph" w:styleId="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2024-08-31T10:29:00Z</dcterms:created>
  <dc:creator>PC</dc:creator>
  <cp:lastModifiedBy>kdjdjjdjdfjfjks</cp:lastModifiedBy>
  <dcterms:modified xsi:type="dcterms:W3CDTF">2025-06-16T09:45:24Z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377D2D08D40C49CBB1A72783EC3C2C91_12</vt:lpwstr>
  </property>
  <property fmtid="{D5CDD505-2E9C-101B-9397-08002B2CF9AE}" pid="4" name="KSOTemplateDocerSaveRecord">
    <vt:lpwstr>eyJoZGlkIjoiN2RhN2Y1ZjM1N2QyMWI0MTYxYWRmNGYxYTBmMzI0ODIiLCJ1c2VySWQiOiI2NTA0NjA4NjgifQ==</vt:lpwstr>
  </property>
</Properties>
</file>